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B7" w:rsidRDefault="001757B7" w:rsidP="001757B7">
      <w:pPr>
        <w:pStyle w:val="Ttulo1"/>
        <w:rPr>
          <w:b/>
        </w:rPr>
      </w:pPr>
      <w:bookmarkStart w:id="0" w:name="_Toc509074309"/>
      <w:bookmarkStart w:id="1" w:name="_Hlk491012158"/>
      <w:r w:rsidRPr="001757B7">
        <w:rPr>
          <w:b/>
        </w:rPr>
        <w:t xml:space="preserve">A </w:t>
      </w:r>
      <w:r w:rsidR="008019FB">
        <w:rPr>
          <w:b/>
        </w:rPr>
        <w:t>educação</w:t>
      </w:r>
      <w:r w:rsidRPr="001757B7">
        <w:rPr>
          <w:b/>
        </w:rPr>
        <w:t xml:space="preserve"> na matriz cultural africana</w:t>
      </w:r>
    </w:p>
    <w:p w:rsidR="00243050" w:rsidRPr="00243050" w:rsidRDefault="00243050" w:rsidP="0024305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Ademir Barros dos Santos *</w:t>
      </w:r>
    </w:p>
    <w:p w:rsidR="001A7480" w:rsidRDefault="001A7480" w:rsidP="001D41A5">
      <w:pPr>
        <w:pStyle w:val="Ttulo2"/>
      </w:pPr>
      <w:r>
        <w:t>Fundamentos</w:t>
      </w:r>
      <w:bookmarkEnd w:id="0"/>
    </w:p>
    <w:p w:rsidR="001A7480" w:rsidRDefault="001A7480" w:rsidP="001A7480">
      <w:pPr>
        <w:widowControl w:val="0"/>
        <w:rPr>
          <w:lang w:eastAsia="pt-BR"/>
        </w:rPr>
      </w:pPr>
    </w:p>
    <w:p w:rsidR="001A7480" w:rsidRDefault="00212F8F" w:rsidP="001A7480">
      <w:pPr>
        <w:widowControl w:val="0"/>
      </w:pPr>
      <w:r>
        <w:t xml:space="preserve">Ao se abordar, </w:t>
      </w:r>
      <w:r w:rsidR="0060212D">
        <w:t>s</w:t>
      </w:r>
      <w:r>
        <w:t>o</w:t>
      </w:r>
      <w:r w:rsidR="0060212D">
        <w:t>b</w:t>
      </w:r>
      <w:r>
        <w:t xml:space="preserve"> qualquer ângulo, posturas assentadas em africanidades, aparentemente não há como detectar qualquer fundamento sem que se leve em conta </w:t>
      </w:r>
      <w:r w:rsidR="0060212D">
        <w:t>a</w:t>
      </w:r>
      <w:r w:rsidR="001A7480">
        <w:t xml:space="preserve"> </w:t>
      </w:r>
      <w:r w:rsidR="0060212D">
        <w:t>influência</w:t>
      </w:r>
      <w:r w:rsidR="001A7480">
        <w:t xml:space="preserve"> religios</w:t>
      </w:r>
      <w:r w:rsidR="0060212D">
        <w:t>a</w:t>
      </w:r>
      <w:r w:rsidR="001A7480">
        <w:t xml:space="preserve">, visto que é a partir da religiosidade, segundo </w:t>
      </w:r>
      <w:r w:rsidR="001757B7">
        <w:t>detecta Sodré (2017)</w:t>
      </w:r>
      <w:r w:rsidR="001A7480">
        <w:t>, que o africano e sua descendência cultural formatam a visão de indivíduo.</w:t>
      </w:r>
    </w:p>
    <w:p w:rsidR="0060212D" w:rsidRDefault="00212F8F" w:rsidP="001A7480">
      <w:pPr>
        <w:widowControl w:val="0"/>
      </w:pPr>
      <w:r>
        <w:t>Decorre que</w:t>
      </w:r>
      <w:r w:rsidR="001A7480">
        <w:t xml:space="preserve"> há, necessariamente, que se </w:t>
      </w:r>
      <w:r>
        <w:t>consider</w:t>
      </w:r>
      <w:r w:rsidR="001A7480">
        <w:t xml:space="preserve">ar </w:t>
      </w:r>
      <w:r>
        <w:t>tal aspecto</w:t>
      </w:r>
      <w:r w:rsidR="001A7480">
        <w:t xml:space="preserve"> </w:t>
      </w:r>
      <w:r>
        <w:t xml:space="preserve">como </w:t>
      </w:r>
      <w:r w:rsidR="001A7480">
        <w:t>filos</w:t>
      </w:r>
      <w:r>
        <w:t>o</w:t>
      </w:r>
      <w:r w:rsidR="001A7480">
        <w:t>fi</w:t>
      </w:r>
      <w:r>
        <w:t>a</w:t>
      </w:r>
      <w:r w:rsidR="001A7480">
        <w:t xml:space="preserve"> </w:t>
      </w:r>
      <w:r>
        <w:t>fundante</w:t>
      </w:r>
      <w:r w:rsidR="001A7480">
        <w:t xml:space="preserve"> dos caminhos que podem conduzir à</w:t>
      </w:r>
      <w:r>
        <w:t>s</w:t>
      </w:r>
      <w:r w:rsidR="001A7480">
        <w:t xml:space="preserve"> </w:t>
      </w:r>
      <w:r>
        <w:t>análises não só da</w:t>
      </w:r>
      <w:r w:rsidR="001A7480">
        <w:t xml:space="preserve"> </w:t>
      </w:r>
      <w:r w:rsidR="0060212D">
        <w:t xml:space="preserve">pujante </w:t>
      </w:r>
      <w:r w:rsidR="001A7480">
        <w:t xml:space="preserve">permanência da tradição </w:t>
      </w:r>
      <w:r>
        <w:t>africana</w:t>
      </w:r>
      <w:r w:rsidR="0060212D">
        <w:t xml:space="preserve"> em meio hostil,</w:t>
      </w:r>
      <w:r>
        <w:t xml:space="preserve"> mesmo após meio milênio de início da </w:t>
      </w:r>
      <w:r w:rsidR="008019FB">
        <w:t xml:space="preserve">violenta </w:t>
      </w:r>
      <w:r>
        <w:t>diáspora</w:t>
      </w:r>
      <w:r w:rsidR="008019FB">
        <w:t xml:space="preserve"> compulsória</w:t>
      </w:r>
      <w:r w:rsidR="001A7480">
        <w:t xml:space="preserve"> </w:t>
      </w:r>
      <w:r>
        <w:t xml:space="preserve">mas, também, do processo de ensino-aprendizagem atuante nesta parcela populacional, </w:t>
      </w:r>
      <w:r w:rsidR="001A7480">
        <w:t xml:space="preserve">posto que é </w:t>
      </w:r>
      <w:r>
        <w:t>d</w:t>
      </w:r>
      <w:r w:rsidR="001A7480">
        <w:t xml:space="preserve">a relação com o divino que </w:t>
      </w:r>
      <w:r w:rsidR="0060212D">
        <w:t>decorre o</w:t>
      </w:r>
      <w:r w:rsidR="001A7480">
        <w:t xml:space="preserve"> </w:t>
      </w:r>
      <w:r w:rsidR="0060212D">
        <w:t>entendimento</w:t>
      </w:r>
      <w:r w:rsidR="001A7480">
        <w:t xml:space="preserve"> antropológic</w:t>
      </w:r>
      <w:r w:rsidR="0060212D">
        <w:t>o</w:t>
      </w:r>
      <w:r w:rsidR="001A7480">
        <w:t xml:space="preserve"> </w:t>
      </w:r>
      <w:r w:rsidR="0060212D">
        <w:t>pertinente, on</w:t>
      </w:r>
      <w:r>
        <w:t>d</w:t>
      </w:r>
      <w:r w:rsidR="0060212D">
        <w:t xml:space="preserve">e </w:t>
      </w:r>
      <w:r w:rsidR="001A7480">
        <w:t xml:space="preserve">o indivíduo </w:t>
      </w:r>
      <w:r w:rsidR="0060212D">
        <w:t>é</w:t>
      </w:r>
      <w:r w:rsidR="001A7480">
        <w:t xml:space="preserve"> </w:t>
      </w:r>
      <w:r w:rsidR="0060212D">
        <w:t xml:space="preserve">visto como </w:t>
      </w:r>
      <w:r w:rsidR="001A7480">
        <w:t xml:space="preserve">agente social </w:t>
      </w:r>
      <w:r w:rsidR="0060212D">
        <w:t xml:space="preserve">integrado e </w:t>
      </w:r>
      <w:r w:rsidR="001A7480">
        <w:t>sujeito a</w:t>
      </w:r>
      <w:r>
        <w:t xml:space="preserve"> tal</w:t>
      </w:r>
      <w:r w:rsidR="001A7480">
        <w:t xml:space="preserve"> processo</w:t>
      </w:r>
      <w:r w:rsidR="00FB6A37">
        <w:t>.</w:t>
      </w:r>
    </w:p>
    <w:p w:rsidR="001A7480" w:rsidRDefault="0060212D" w:rsidP="001A7480">
      <w:pPr>
        <w:widowControl w:val="0"/>
      </w:pPr>
      <w:r>
        <w:t>Se assim é, parece pertinente abordar o</w:t>
      </w:r>
      <w:r w:rsidR="001A7480">
        <w:t xml:space="preserve">s pilares pedagógicos inerentes ao </w:t>
      </w:r>
      <w:r w:rsidR="00212F8F">
        <w:t>m</w:t>
      </w:r>
      <w:r w:rsidR="001A7480">
        <w:t>es</w:t>
      </w:r>
      <w:r w:rsidR="00212F8F">
        <w:t>m</w:t>
      </w:r>
      <w:r w:rsidR="001A7480">
        <w:t>o</w:t>
      </w:r>
      <w:r>
        <w:t>; p</w:t>
      </w:r>
      <w:r w:rsidR="001A7480">
        <w:t xml:space="preserve">ortanto, é com este viés e objetivo que </w:t>
      </w:r>
      <w:r w:rsidR="00212F8F">
        <w:t>est</w:t>
      </w:r>
      <w:r w:rsidR="001A7480">
        <w:t>a análise será, a seguir, desenvolvida.</w:t>
      </w:r>
    </w:p>
    <w:p w:rsidR="001A7480" w:rsidRDefault="001A7480" w:rsidP="001D41A5">
      <w:pPr>
        <w:pStyle w:val="Ttulo2"/>
      </w:pPr>
      <w:bookmarkStart w:id="2" w:name="_Toc509074310"/>
      <w:r>
        <w:t>Fundamentos teológicos</w:t>
      </w:r>
      <w:bookmarkEnd w:id="2"/>
    </w:p>
    <w:p w:rsidR="001A7480" w:rsidRDefault="001757B7" w:rsidP="001A7480">
      <w:pPr>
        <w:widowControl w:val="0"/>
      </w:pPr>
      <w:r>
        <w:t xml:space="preserve">Diante do </w:t>
      </w:r>
      <w:r w:rsidR="00547910">
        <w:t xml:space="preserve">pretenso </w:t>
      </w:r>
      <w:r>
        <w:t>quadro conceitual acima, o</w:t>
      </w:r>
      <w:r w:rsidR="001A7480">
        <w:t xml:space="preserve"> objeto deste estudo exige a apresentação dos fundamentos teológicos em que se assentam os procedimentos sociais de matriz africana, </w:t>
      </w:r>
      <w:r w:rsidR="0060212D">
        <w:t>caso se admita</w:t>
      </w:r>
      <w:r w:rsidR="001A7480">
        <w:t xml:space="preserve"> que esses se baseiam na religiosidade daquela matriz.</w:t>
      </w:r>
    </w:p>
    <w:p w:rsidR="001A7480" w:rsidRDefault="001A7480" w:rsidP="001A7480">
      <w:pPr>
        <w:widowControl w:val="0"/>
      </w:pPr>
      <w:r>
        <w:t xml:space="preserve">Por princípio, é preciso repisar, com Bâ (1997, 25), que esta filosofia considera que tudo o que é material, encontra base de sustentação no mundo espiritual que, com aquele, interage, constante e continuamente, em movimento de retroalimentação. </w:t>
      </w:r>
    </w:p>
    <w:p w:rsidR="001A7480" w:rsidRDefault="001A7480" w:rsidP="001A7480">
      <w:pPr>
        <w:widowControl w:val="0"/>
      </w:pPr>
      <w:r>
        <w:t xml:space="preserve">Decorre desta crença a visão da dualidade em tudo o que acontece, ou seja: o que é bom traz, consigo, o que não o é; a recíproca é </w:t>
      </w:r>
      <w:r w:rsidR="0060212D">
        <w:t xml:space="preserve">perfeitamente </w:t>
      </w:r>
      <w:r>
        <w:t>verdadeira.</w:t>
      </w:r>
    </w:p>
    <w:p w:rsidR="001A7480" w:rsidRDefault="001A7480" w:rsidP="001A7480">
      <w:pPr>
        <w:widowControl w:val="0"/>
      </w:pPr>
      <w:r>
        <w:t>Como exemplo: se a vida de alguém se encontra em um momento em que o prazer material é potencializado, es</w:t>
      </w:r>
      <w:r w:rsidR="00547910">
        <w:t>t</w:t>
      </w:r>
      <w:r>
        <w:t>a é a influência pontual do sagrado naquele específico estágio do destino individual</w:t>
      </w:r>
      <w:r w:rsidR="0060212D">
        <w:t>;</w:t>
      </w:r>
      <w:r>
        <w:t xml:space="preserve"> eis </w:t>
      </w:r>
      <w:r w:rsidR="0060212D">
        <w:t xml:space="preserve">aí </w:t>
      </w:r>
      <w:r>
        <w:t>a fonte invisível, a ação do orixá, em que o visível encontra assento.</w:t>
      </w:r>
    </w:p>
    <w:p w:rsidR="0060212D" w:rsidRDefault="001A7480" w:rsidP="001A7480">
      <w:pPr>
        <w:widowControl w:val="0"/>
      </w:pPr>
      <w:r>
        <w:t xml:space="preserve">Porém, o resultado desta influência se </w:t>
      </w:r>
      <w:r w:rsidR="005F22C8">
        <w:t xml:space="preserve">materializa, </w:t>
      </w:r>
      <w:r>
        <w:t>efetiva</w:t>
      </w:r>
      <w:r w:rsidR="00547910">
        <w:t>mente</w:t>
      </w:r>
      <w:r w:rsidR="005F22C8">
        <w:t>,</w:t>
      </w:r>
      <w:r>
        <w:t xml:space="preserve"> </w:t>
      </w:r>
      <w:r w:rsidR="0029290F">
        <w:t xml:space="preserve">apenas </w:t>
      </w:r>
      <w:r>
        <w:t>na atitude r</w:t>
      </w:r>
      <w:r w:rsidR="0029290F">
        <w:t>e</w:t>
      </w:r>
      <w:r>
        <w:t xml:space="preserve">al do indivíduo, que poderá optar por satisfazer-se com o reconhecimento alheio de sua atuação social, por exemplo; ou, pela busca do prazer na adoção, talvez, de atitudes </w:t>
      </w:r>
      <w:r>
        <w:lastRenderedPageBreak/>
        <w:t xml:space="preserve">essencialmente mundanas, nem sempre de boa recomendação. </w:t>
      </w:r>
    </w:p>
    <w:p w:rsidR="001A7480" w:rsidRDefault="001A7480" w:rsidP="001A7480">
      <w:pPr>
        <w:widowControl w:val="0"/>
      </w:pPr>
      <w:r>
        <w:t xml:space="preserve">Portanto, </w:t>
      </w:r>
      <w:r w:rsidR="00547910">
        <w:t xml:space="preserve">pode-se afirmar que, assim sendo, </w:t>
      </w:r>
      <w:r>
        <w:t>está liberado o livre arbítrio, com as consequências que, de seu exercício, naturalmente advirão.</w:t>
      </w:r>
    </w:p>
    <w:p w:rsidR="001A7480" w:rsidRDefault="001A7480" w:rsidP="001A7480">
      <w:pPr>
        <w:widowControl w:val="0"/>
      </w:pPr>
      <w:r>
        <w:t>Em resumo: o resultado da potencial ação do sagrado na vida do indivíduo, depende, em grande proporção, da decisão material deste sobre o que fazer com ela.</w:t>
      </w:r>
    </w:p>
    <w:p w:rsidR="001A7480" w:rsidRDefault="001A7480" w:rsidP="001A7480">
      <w:pPr>
        <w:widowControl w:val="0"/>
      </w:pPr>
      <w:r>
        <w:t>Outro componente importante a destacar é: toda a energia natural flui do mundo espiritual para o material; mas, àquele retorna, em movimento circular que o potencializa, quando o fiel, celebrando o sagrado, a este dedica atitudes e destina oferendas, em demonstração de reconhecimento</w:t>
      </w:r>
      <w:r w:rsidR="00130CF9">
        <w:t>, agradecimento</w:t>
      </w:r>
      <w:r>
        <w:t xml:space="preserve"> e submissão.</w:t>
      </w:r>
    </w:p>
    <w:p w:rsidR="001A7480" w:rsidRDefault="001A7480" w:rsidP="001A7480">
      <w:pPr>
        <w:widowControl w:val="0"/>
      </w:pPr>
      <w:r>
        <w:t>Neste ponto, parece adequado abordar a fundamentação da oferenda nesta matriz religiosa: muito além do mero ofertar, é ato que representa o reconhecimento de que tudo o que o sagrado proporciona ao mundo natural, serve para a sustentação da vida, quer pela forma animal, quer vegetal, quer mineral.</w:t>
      </w:r>
    </w:p>
    <w:p w:rsidR="001A7480" w:rsidRDefault="001A7480" w:rsidP="001A7480">
      <w:pPr>
        <w:widowControl w:val="0"/>
      </w:pPr>
      <w:r>
        <w:t>Isso posto, a oferenda</w:t>
      </w:r>
      <w:r w:rsidR="00505769">
        <w:t>, por</w:t>
      </w:r>
      <w:r>
        <w:t xml:space="preserve"> sa</w:t>
      </w:r>
      <w:r w:rsidR="00505769">
        <w:t>c</w:t>
      </w:r>
      <w:r>
        <w:t>ra</w:t>
      </w:r>
      <w:r w:rsidR="00505769">
        <w:t>liza</w:t>
      </w:r>
      <w:r>
        <w:t>da</w:t>
      </w:r>
      <w:r w:rsidR="00505769">
        <w:t>,</w:t>
      </w:r>
      <w:r>
        <w:t xml:space="preserve"> significa, sobretudo, a apresentação, ao divino, do cuidado que o fiel e sua comunidade dispensaram àquilo que lhes foi</w:t>
      </w:r>
      <w:r w:rsidR="00D80544" w:rsidRPr="00D80544">
        <w:t xml:space="preserve"> </w:t>
      </w:r>
      <w:r w:rsidR="00D80544">
        <w:t>cedido</w:t>
      </w:r>
      <w:r>
        <w:t>, por aquele, como bem de vida; assim</w:t>
      </w:r>
      <w:r w:rsidR="00D80544">
        <w:t>,</w:t>
      </w:r>
      <w:r>
        <w:t xml:space="preserve"> também a disponibilidade de cada fiel e de cada comunidade em partilhar, com o divino, os bens que lhes foram proporcionados. Daí a circularidade do </w:t>
      </w:r>
      <w:r w:rsidRPr="00D44B26">
        <w:rPr>
          <w:i/>
        </w:rPr>
        <w:t>asè</w:t>
      </w:r>
      <w:r>
        <w:t>.</w:t>
      </w:r>
    </w:p>
    <w:p w:rsidR="001A7480" w:rsidRDefault="001A7480" w:rsidP="001A7480">
      <w:pPr>
        <w:widowControl w:val="0"/>
      </w:pPr>
      <w:r>
        <w:t xml:space="preserve">Reforçando esta visão, cabe retomar o que ensina Bâ (1997, p. 25): “Na África, o lado visível e aparente das coisas corresponde sempre a um aspecto invisível [...], que é como a sua fonte e o seu princípio”. </w:t>
      </w:r>
    </w:p>
    <w:p w:rsidR="001A7480" w:rsidRPr="00BE6910" w:rsidRDefault="001A7480" w:rsidP="00613301">
      <w:pPr>
        <w:widowControl w:val="0"/>
      </w:pPr>
      <w:r>
        <w:t>Is</w:t>
      </w:r>
      <w:r w:rsidR="006233EB">
        <w:t>t</w:t>
      </w:r>
      <w:r>
        <w:t xml:space="preserve">o porque, para esta visão de mundo, a mesma força – </w:t>
      </w:r>
      <w:r>
        <w:rPr>
          <w:i/>
        </w:rPr>
        <w:t>asè</w:t>
      </w:r>
      <w:r>
        <w:t xml:space="preserve"> – que mantém a vida, </w:t>
      </w:r>
      <w:r w:rsidR="006233EB">
        <w:t xml:space="preserve">também </w:t>
      </w:r>
      <w:r>
        <w:t xml:space="preserve">mantém, pela fertilidade do solo, o mundo inanimado; ou seja: é a força divina que, ao fertilizar a terra, faz retornar, à vida, o que nela foi depositado, mesmo estando morto. </w:t>
      </w:r>
    </w:p>
    <w:p w:rsidR="00762304" w:rsidRDefault="00613301" w:rsidP="001A7480">
      <w:pPr>
        <w:widowControl w:val="0"/>
      </w:pPr>
      <w:r>
        <w:t xml:space="preserve">Diante deste entendimento, que compreende a circularidade da natureza, parece </w:t>
      </w:r>
      <w:r w:rsidR="00751E96">
        <w:t xml:space="preserve">incontornável admitir que os mais velhos usufruam do respeito dos mais novos; porém, é a eles que cabe, diante da oralidade em que se assenta a transmissão dos conhecimentos, a responsabilidade pela manutenção do ciclo ensino-aprendizagem. </w:t>
      </w:r>
    </w:p>
    <w:p w:rsidR="001A7480" w:rsidRDefault="00751E96" w:rsidP="001A7480">
      <w:pPr>
        <w:widowControl w:val="0"/>
      </w:pPr>
      <w:r>
        <w:t>Em outras e mais simples palavras: a educação</w:t>
      </w:r>
      <w:r w:rsidR="00762304">
        <w:t xml:space="preserve">; mas esta, </w:t>
      </w:r>
      <w:r w:rsidR="00D80544">
        <w:t xml:space="preserve">quando </w:t>
      </w:r>
      <w:r w:rsidR="00762304">
        <w:t>entendida em sua forma ampla, qual seja: a transmissão e compartilha de saberes por meio da convivência social.</w:t>
      </w:r>
    </w:p>
    <w:p w:rsidR="001A7480" w:rsidRDefault="001A7480" w:rsidP="001A7480">
      <w:pPr>
        <w:widowControl w:val="0"/>
      </w:pPr>
      <w:r>
        <w:t xml:space="preserve">Ainda </w:t>
      </w:r>
      <w:r w:rsidR="00D80544">
        <w:t>dest</w:t>
      </w:r>
      <w:r>
        <w:t xml:space="preserve">a mesma linha, decorre outra constatação: a vida é contínua; não se interrompe a cada </w:t>
      </w:r>
      <w:proofErr w:type="gramStart"/>
      <w:r>
        <w:t>morte</w:t>
      </w:r>
      <w:proofErr w:type="gramEnd"/>
      <w:r>
        <w:t xml:space="preserve"> mas, sim, permanece e se transmite a cada nascimento; isso </w:t>
      </w:r>
      <w:r>
        <w:lastRenderedPageBreak/>
        <w:t xml:space="preserve">porque, se o </w:t>
      </w:r>
      <w:r>
        <w:rPr>
          <w:i/>
        </w:rPr>
        <w:t>asè</w:t>
      </w:r>
      <w:r>
        <w:t xml:space="preserve"> permeia toda a natureza, ele não se interrompe mas, sim, é transmitido. </w:t>
      </w:r>
    </w:p>
    <w:p w:rsidR="001A7480" w:rsidRDefault="001A7480" w:rsidP="001A7480">
      <w:pPr>
        <w:widowControl w:val="0"/>
      </w:pPr>
      <w:r>
        <w:t>Não é outro o ensino de Bâ (2003, p. 23): “Na África tradicional, o indivíduo é inseparável de sua linhagem, que continua a viver através dele e da qual ele é apenas um prolongamento”, ao que Munanga (1984, p. 70) complementa: “a morte não tem um caráter trágico na África, pois há apenas o desaparecimento de um ser cuja realidade última é inteiramente relativa às entidades preexistentes [...] A morte não é uma ruptura, é uma mudança de vida”.</w:t>
      </w:r>
    </w:p>
    <w:p w:rsidR="001A7480" w:rsidRDefault="001A7480" w:rsidP="001A7480">
      <w:pPr>
        <w:widowControl w:val="0"/>
      </w:pPr>
      <w:r>
        <w:t xml:space="preserve">Daí </w:t>
      </w:r>
      <w:r w:rsidR="00D80544">
        <w:t>que, neste viés, é necessári</w:t>
      </w:r>
      <w:r>
        <w:t xml:space="preserve">a </w:t>
      </w:r>
      <w:r w:rsidR="00D80544">
        <w:t xml:space="preserve"> a </w:t>
      </w:r>
      <w:r>
        <w:t>seguinte c</w:t>
      </w:r>
      <w:r w:rsidR="00D80544">
        <w:t>ompreensão:</w:t>
      </w:r>
      <w:r>
        <w:t xml:space="preserve"> não há vida nova mas, sim, a transferência da mesma vida pela via intergeracional, o que faz com que cada fiel tenha o dever de melhorá-la para a transmitir, melhorada, à própria prole</w:t>
      </w:r>
      <w:r w:rsidR="00751E96">
        <w:t>; o que, evidentemente, só pode ocorrer pela via educacional</w:t>
      </w:r>
      <w:r w:rsidR="00D80544">
        <w:t xml:space="preserve"> conforme acima entendida</w:t>
      </w:r>
      <w:r w:rsidR="00751E96">
        <w:t>.</w:t>
      </w:r>
    </w:p>
    <w:p w:rsidR="001A7480" w:rsidRDefault="001A7480" w:rsidP="001A7480">
      <w:pPr>
        <w:widowControl w:val="0"/>
      </w:pPr>
      <w:r>
        <w:t>Porém, onde a vida se transmite? Apenas por dois caminhos e lugares: a terra e o útero; daí que, conforme já abordado, a terra e a natureza inanimada merecem cuidado; de certa forma, até mesmo, veneração.</w:t>
      </w:r>
    </w:p>
    <w:p w:rsidR="001A7480" w:rsidRDefault="001A7480" w:rsidP="001A7480">
      <w:pPr>
        <w:widowControl w:val="0"/>
      </w:pPr>
      <w:r>
        <w:t>Para explicitar a identidade entre es</w:t>
      </w:r>
      <w:r w:rsidR="00C83243">
        <w:t>t</w:t>
      </w:r>
      <w:r>
        <w:t>es dois elementos transmissores da vida, talvez se mostre útil recorrer à explicação de Bâ (2003, p. 196), quando discorre sobre a tradição africana no pós-circuncisão:</w:t>
      </w:r>
    </w:p>
    <w:p w:rsidR="001A7480" w:rsidRDefault="001A7480" w:rsidP="001A7480">
      <w:pPr>
        <w:widowControl w:val="0"/>
      </w:pPr>
    </w:p>
    <w:p w:rsidR="001A7480" w:rsidRDefault="001A7480" w:rsidP="001A7480">
      <w:pPr>
        <w:pStyle w:val="citao0"/>
      </w:pPr>
      <w:r>
        <w:t>Depois da operação, todos os prepúcios foram enterrados. Na antiga tradição africana, o prepúcio é considerado um símbolo de feminilidade, na medida em que recobre o pênis e o envolve em uma espécie de obscuridade, pois tudo o que é feminino, materno e germinativo se realiza e se desenvolve no segredo da escuridão dos lugares fechados, seja dentro da mulher ou no seio da Mãe-Terra.</w:t>
      </w:r>
    </w:p>
    <w:p w:rsidR="001A7480" w:rsidRDefault="001A7480" w:rsidP="001A7480">
      <w:pPr>
        <w:pStyle w:val="citao0"/>
      </w:pPr>
    </w:p>
    <w:p w:rsidR="001A7480" w:rsidRDefault="001A7480" w:rsidP="001A7480">
      <w:pPr>
        <w:widowControl w:val="0"/>
      </w:pPr>
      <w:r>
        <w:t>Quanto à terra, a abordagem acima parece suficiente; mas, cabe ouvir a fala de Munanga (1984</w:t>
      </w:r>
      <w:r w:rsidR="006233EB">
        <w:t>, p. 70</w:t>
      </w:r>
      <w:r>
        <w:t>) que</w:t>
      </w:r>
      <w:r w:rsidR="006233EB">
        <w:t>, para complementá-la,</w:t>
      </w:r>
      <w:r>
        <w:t xml:space="preserve"> vai além quan</w:t>
      </w:r>
      <w:r w:rsidR="00D80544">
        <w:t>d</w:t>
      </w:r>
      <w:r>
        <w:t xml:space="preserve">o opina: </w:t>
      </w:r>
    </w:p>
    <w:p w:rsidR="001A7480" w:rsidRDefault="001A7480" w:rsidP="001A7480">
      <w:pPr>
        <w:pStyle w:val="citao0"/>
      </w:pPr>
    </w:p>
    <w:p w:rsidR="001A7480" w:rsidRDefault="001A7480" w:rsidP="001A7480">
      <w:pPr>
        <w:pStyle w:val="citao0"/>
      </w:pPr>
      <w:r>
        <w:t xml:space="preserve">Cultuando os ancestrais, ao mesmo momento em que ele vive a solidariedade da linhagem, o jovem africano é introduzido aos valores básicos de sua cultura: [...]. Isso explica como as religiões africanas encontraram condições para se manter na América do Sul e no Caribe. Foi justamente o fator natureza – similar ao que existia na África - que permitiu, pelo condicionamento que tinha sobre a cultura, que se mantivessem os cultos originais. </w:t>
      </w:r>
    </w:p>
    <w:p w:rsidR="006233EB" w:rsidRDefault="006233EB" w:rsidP="001A7480">
      <w:pPr>
        <w:pStyle w:val="citao0"/>
      </w:pPr>
    </w:p>
    <w:p w:rsidR="001A7480" w:rsidRDefault="001A7480" w:rsidP="001A7480">
      <w:pPr>
        <w:widowControl w:val="0"/>
      </w:pPr>
      <w:r>
        <w:t>Quanto ao útero, Bâ (2003, p. 51) apresenta es</w:t>
      </w:r>
      <w:r w:rsidR="00C83243">
        <w:t>t</w:t>
      </w:r>
      <w:r>
        <w:t>e ditado malinês: “Tudo o que somos e tudo o que temos, devemos somente uma vez a nosso pai, mas duas vezes a nossa mãe”; is</w:t>
      </w:r>
      <w:r w:rsidR="00C83243">
        <w:t>t</w:t>
      </w:r>
      <w:r>
        <w:t xml:space="preserve">o porque, explica ele, à mesma página.: “[...] o homem [...] nada mais é que um semeador distraído, enquanto a mãe é considerada a oficina divina onde o Criador </w:t>
      </w:r>
      <w:r>
        <w:lastRenderedPageBreak/>
        <w:t xml:space="preserve">trabalha diretamente [...] para formar e levar à maturidade uma nova vida”. </w:t>
      </w:r>
    </w:p>
    <w:p w:rsidR="001A7480" w:rsidRDefault="001A7480" w:rsidP="001A7480">
      <w:pPr>
        <w:widowControl w:val="0"/>
      </w:pPr>
      <w:r>
        <w:t>Assim entendido e de forma mais ampla, resta explicada a importância da linhagem como produto divino; entendimento es</w:t>
      </w:r>
      <w:r w:rsidR="00D80544">
        <w:t>t</w:t>
      </w:r>
      <w:r>
        <w:t>e que, se expandido, pode induzir à compreensão da ausência de proselitismo: se a comunidade é sagrada, todos os seus membros ali estão por vontade do poder invisível que nela se materializa.</w:t>
      </w:r>
    </w:p>
    <w:p w:rsidR="001A7480" w:rsidRDefault="001A7480" w:rsidP="001A7480">
      <w:pPr>
        <w:widowControl w:val="0"/>
      </w:pPr>
      <w:r>
        <w:t>Es</w:t>
      </w:r>
      <w:r w:rsidR="00C83243">
        <w:t>t</w:t>
      </w:r>
      <w:r>
        <w:t>e o entendimento que torna mais inteligível a indagação que faz Verger (1991, p. 20), e que já traz, em si mesma, a resposta: “</w:t>
      </w:r>
      <w:r w:rsidRPr="00702BB2">
        <w:t>Como e por que as pessoas poderiam exigir que um estrangeiro participasse do culto, não tendo nenhuma ligação com os ancestrais em questão?</w:t>
      </w:r>
      <w:r>
        <w:t xml:space="preserve">” </w:t>
      </w:r>
    </w:p>
    <w:p w:rsidR="001A7480" w:rsidRDefault="001A7480" w:rsidP="001A7480">
      <w:pPr>
        <w:widowControl w:val="0"/>
      </w:pPr>
      <w:r>
        <w:t>Portanto, não é pertinente, ao ser humano, convencer alguém a pertencer ou permanecer na comunidade</w:t>
      </w:r>
      <w:r w:rsidR="006233EB">
        <w:t>;</w:t>
      </w:r>
      <w:r>
        <w:t xml:space="preserve"> exceto se por vontade do sagrado; deixar alguma comunidade, portanto e a </w:t>
      </w:r>
      <w:r>
        <w:rPr>
          <w:i/>
        </w:rPr>
        <w:t>contrario sensu</w:t>
      </w:r>
      <w:r>
        <w:t>, segue a mesma lógica.</w:t>
      </w:r>
    </w:p>
    <w:p w:rsidR="001A7480" w:rsidRDefault="001A7480" w:rsidP="001A7480">
      <w:pPr>
        <w:widowControl w:val="0"/>
      </w:pPr>
      <w:r>
        <w:t xml:space="preserve">Resta que </w:t>
      </w:r>
      <w:r w:rsidR="00C83243">
        <w:t>cada</w:t>
      </w:r>
      <w:r>
        <w:t xml:space="preserve"> ser, nesta perspectiva, deve ser entendido, apenas, como o elo atual da cadeia que o une ao passado</w:t>
      </w:r>
      <w:r w:rsidR="00D80544">
        <w:t>;</w:t>
      </w:r>
      <w:r>
        <w:t xml:space="preserve"> e o obriga ao futuro.</w:t>
      </w:r>
    </w:p>
    <w:p w:rsidR="001A7480" w:rsidRDefault="001A7480" w:rsidP="001A7480">
      <w:pPr>
        <w:widowControl w:val="0"/>
      </w:pPr>
      <w:r>
        <w:t>Em resumo: para a matriz africana, o indivíduo não é visto como unidade isolada mas, sim, como a materialização, ou melhor, como atualização de toda a experimentação anterior desenvolvida por seus antepassados</w:t>
      </w:r>
      <w:r w:rsidR="00C83243">
        <w:t>;</w:t>
      </w:r>
      <w:r>
        <w:t xml:space="preserve"> o que deve ser traditado para sua descendência, visto que o elo de sua linhagem é contínuo e ele, indivíduo, é, apenas, a versão atual</w:t>
      </w:r>
      <w:r w:rsidR="006233EB">
        <w:t xml:space="preserve"> desta;</w:t>
      </w:r>
      <w:r w:rsidR="00C83243">
        <w:t xml:space="preserve"> mas</w:t>
      </w:r>
      <w:r w:rsidR="006233EB">
        <w:t>, é</w:t>
      </w:r>
      <w:r w:rsidR="00C83243">
        <w:t xml:space="preserve"> o cuidador e mantenedor</w:t>
      </w:r>
      <w:r>
        <w:t xml:space="preserve"> da mesma.</w:t>
      </w:r>
    </w:p>
    <w:p w:rsidR="001A7480" w:rsidRDefault="001A7480" w:rsidP="001A7480">
      <w:pPr>
        <w:widowControl w:val="0"/>
      </w:pPr>
      <w:r>
        <w:t xml:space="preserve">Porém, o indivíduo não se complementa nesta visão vertical: horizontalmente, cada um está preso à sua faixa etária, posto que a carga divina – o </w:t>
      </w:r>
      <w:r w:rsidRPr="00AC7CAF">
        <w:rPr>
          <w:i/>
        </w:rPr>
        <w:t>asè</w:t>
      </w:r>
      <w:r>
        <w:t xml:space="preserve"> – que traz cada indivíduo, somente se reforça com o </w:t>
      </w:r>
      <w:r w:rsidRPr="00AC7CAF">
        <w:rPr>
          <w:i/>
        </w:rPr>
        <w:t>asè</w:t>
      </w:r>
      <w:r>
        <w:t xml:space="preserve"> alheio; daí a necessidade do grupo, da comunidade, e a percepção da necessária diferença individual, para dar plasticidade ao conjunto, necessariamente formado pela complementariedade.</w:t>
      </w:r>
    </w:p>
    <w:p w:rsidR="001A7480" w:rsidRDefault="001A7480" w:rsidP="001A7480">
      <w:pPr>
        <w:widowControl w:val="0"/>
      </w:pPr>
      <w:r>
        <w:t xml:space="preserve">É deste entendimento que decorre a hierarquização por faixa etária que, se ritual na </w:t>
      </w:r>
      <w:r w:rsidR="00C93FB5">
        <w:t xml:space="preserve">religião formada  na </w:t>
      </w:r>
      <w:r>
        <w:t>diáspora</w:t>
      </w:r>
      <w:r w:rsidR="00762304">
        <w:t>, onde se materializa</w:t>
      </w:r>
      <w:r>
        <w:t xml:space="preserve"> em função do tempo de consagração do fiel, é natural na África, conforme informa Bâ (2003, p. 170) quanto à associação de idade que comandou em sua aldeia, e que era composta por meninos de, aproximadamente, treze anos de idade: “A vida dos meninos nas associações de idade constituía assim um verdadeiro aprendizado de vida coletiva e das responsabilidades, sob o olhar discreto mas vigilante dos mais velhos que as apadrinhavam”.</w:t>
      </w:r>
    </w:p>
    <w:p w:rsidR="001A7480" w:rsidRDefault="001A7480" w:rsidP="001A7480">
      <w:pPr>
        <w:widowControl w:val="0"/>
      </w:pPr>
      <w:r>
        <w:t>Desta fala, parece possível extrair a evidente presença do princípio da ancestralidade, consolidada no respeito e submissão aos mais velhos, que se materializa no intenso</w:t>
      </w:r>
      <w:r w:rsidR="00762304">
        <w:t>, mas discreto,</w:t>
      </w:r>
      <w:r>
        <w:t xml:space="preserve"> controle social; inclusive, como fonte indispensável dos saberes e </w:t>
      </w:r>
      <w:r>
        <w:lastRenderedPageBreak/>
        <w:t>princípios da comunidade e da complementariedade existente no grupo, componentes essenciais do desenvolvimento comum</w:t>
      </w:r>
      <w:r w:rsidR="00B45B2B">
        <w:t>, que se transmite por via educacional</w:t>
      </w:r>
      <w:r>
        <w:t>.</w:t>
      </w:r>
    </w:p>
    <w:p w:rsidR="001A7480" w:rsidRDefault="001A7480" w:rsidP="001A7480">
      <w:pPr>
        <w:widowControl w:val="0"/>
      </w:pPr>
      <w:r>
        <w:t xml:space="preserve">Outro ponto, formador e sustentáculo da </w:t>
      </w:r>
      <w:r w:rsidR="00762304">
        <w:t>sociedade</w:t>
      </w:r>
      <w:r>
        <w:t xml:space="preserve"> africana, é o mito sagrado. Sobre o tema, </w:t>
      </w:r>
      <w:r w:rsidRPr="00825A7D">
        <w:t>Machado</w:t>
      </w:r>
      <w:r>
        <w:t xml:space="preserve"> (2003</w:t>
      </w:r>
      <w:r w:rsidRPr="00825A7D">
        <w:t>, p.</w:t>
      </w:r>
      <w:r>
        <w:t xml:space="preserve"> 15</w:t>
      </w:r>
      <w:r>
        <w:rPr>
          <w:lang w:eastAsia="pt-BR"/>
        </w:rPr>
        <w:t>) opina: “</w:t>
      </w:r>
      <w:r>
        <w:t>os mitos são metáforas da vida. São histórias simples que contam a origem do mundo com imagens que traduzem o pensamento mais profundo sobre as coisas e sobre nós mesmos.”</w:t>
      </w:r>
      <w:r w:rsidRPr="00825A7D">
        <w:t xml:space="preserve"> </w:t>
      </w:r>
    </w:p>
    <w:p w:rsidR="001A7480" w:rsidRPr="00F26E19" w:rsidRDefault="001A7480" w:rsidP="001A7480">
      <w:pPr>
        <w:widowControl w:val="0"/>
        <w:rPr>
          <w:lang w:eastAsia="pt-BR"/>
        </w:rPr>
      </w:pPr>
      <w:r>
        <w:t xml:space="preserve">Se assim é, é pela aproximação do mito à vida material que </w:t>
      </w:r>
      <w:r w:rsidR="00C83243">
        <w:t>as</w:t>
      </w:r>
      <w:r>
        <w:t xml:space="preserve"> </w:t>
      </w:r>
      <w:r w:rsidR="00C83243">
        <w:t xml:space="preserve">religiões ancoradas na matriz africana </w:t>
      </w:r>
      <w:r>
        <w:t>encontra</w:t>
      </w:r>
      <w:r w:rsidR="00C83243">
        <w:t>m</w:t>
      </w:r>
      <w:r>
        <w:t xml:space="preserve"> fundamentação teológica</w:t>
      </w:r>
      <w:r w:rsidR="00C83243">
        <w:t>:</w:t>
      </w:r>
      <w:r>
        <w:t xml:space="preserve"> o mito, ao representar o passado que se atualiza, desvela as necessidades do fiel; mais além, sugere caminhos para a solução das dificuldades des</w:t>
      </w:r>
      <w:r w:rsidR="009F1CCE">
        <w:t>t</w:t>
      </w:r>
      <w:r>
        <w:t>e e para a potencialização da interferência do divino em cada vida individual.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Is</w:t>
      </w:r>
      <w:r w:rsidR="009F1CCE">
        <w:rPr>
          <w:lang w:eastAsia="pt-BR"/>
        </w:rPr>
        <w:t>t</w:t>
      </w:r>
      <w:r>
        <w:rPr>
          <w:lang w:eastAsia="pt-BR"/>
        </w:rPr>
        <w:t xml:space="preserve">o porque, segundo se crê, a energia da divindade – </w:t>
      </w:r>
      <w:r w:rsidRPr="00AC7CAF">
        <w:rPr>
          <w:i/>
          <w:lang w:eastAsia="pt-BR"/>
        </w:rPr>
        <w:t>as</w:t>
      </w:r>
      <w:r>
        <w:rPr>
          <w:lang w:eastAsia="pt-BR"/>
        </w:rPr>
        <w:t xml:space="preserve">è - se materializa nos indivíduos, completando-se no grupo, visto que ninguém traz, consigo, a totalidade da energia; o que só é possível com a totalidade do conjunto. 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Daí a necessária diferença individual disponível para o grupo, o que impõe, e</w:t>
      </w:r>
      <w:r w:rsidR="00B45B2B">
        <w:rPr>
          <w:lang w:eastAsia="pt-BR"/>
        </w:rPr>
        <w:t>nfatiz</w:t>
      </w:r>
      <w:r>
        <w:rPr>
          <w:lang w:eastAsia="pt-BR"/>
        </w:rPr>
        <w:t>e-se, a colaboração e a complementariedade social.</w:t>
      </w:r>
    </w:p>
    <w:p w:rsidR="001A7480" w:rsidRDefault="001A7480" w:rsidP="001D41A5">
      <w:pPr>
        <w:pStyle w:val="Ttulo2"/>
      </w:pPr>
      <w:bookmarkStart w:id="3" w:name="_Toc509074311"/>
      <w:r>
        <w:t>Fundamentos antropológicos</w:t>
      </w:r>
      <w:bookmarkEnd w:id="3"/>
    </w:p>
    <w:p w:rsidR="001A7480" w:rsidRDefault="001A7480" w:rsidP="001A7480">
      <w:pPr>
        <w:widowControl w:val="0"/>
      </w:pPr>
      <w:r>
        <w:t xml:space="preserve">Diante da exposição, acima, de alguns dos principais fundamentos teológicos que sustentam a religiosidade de matriz africana, faz-se </w:t>
      </w:r>
      <w:r w:rsidR="009F1CCE">
        <w:t>possível</w:t>
      </w:r>
      <w:r>
        <w:t xml:space="preserve"> </w:t>
      </w:r>
      <w:r w:rsidR="009F1CCE">
        <w:t>abord</w:t>
      </w:r>
      <w:r>
        <w:t>ar como eles se materializam na visão filosófica sobre o ser humano, especialmente quando em sociedade.</w:t>
      </w:r>
    </w:p>
    <w:p w:rsidR="001A7480" w:rsidRDefault="001A7480" w:rsidP="001A7480">
      <w:pPr>
        <w:widowControl w:val="0"/>
      </w:pPr>
      <w:r>
        <w:t xml:space="preserve">Com isso em mente, </w:t>
      </w:r>
      <w:r w:rsidR="009F1CCE">
        <w:t>talvez se possa</w:t>
      </w:r>
      <w:r>
        <w:t xml:space="preserve"> afirmar que, nas sociedades assim formatadas, o indivíduo, em si, não tem completude, o que só pode ser alcançado, reforce-se, em comunidade, de onde decorre toda a organização social, a exigir que cada um se preocupe com o todo; mas, em sentido contrário, o todo tem, por obrigação, preocupar-se com cada um</w:t>
      </w:r>
      <w:r w:rsidR="00B45B2B">
        <w:t>, assentando-se em princípios de</w:t>
      </w:r>
      <w:r>
        <w:t xml:space="preserve"> comunidade e complementariedade.</w:t>
      </w:r>
    </w:p>
    <w:p w:rsidR="001A7480" w:rsidRDefault="001A7480" w:rsidP="001A7480">
      <w:pPr>
        <w:widowControl w:val="0"/>
      </w:pPr>
      <w:r>
        <w:t>No entanto, o princípio do respeito à ancestralidade, consolidado na autoridade dos mais antigos, faz com que o indivíduo, visto em sua evolução social, sempre se encontre sujeito à hierarquia imposta pela longevidade, conforme já acima abordado.</w:t>
      </w:r>
    </w:p>
    <w:p w:rsidR="001A7480" w:rsidRDefault="001A7480" w:rsidP="001A7480">
      <w:pPr>
        <w:widowControl w:val="0"/>
      </w:pPr>
      <w:r>
        <w:t>Por outro olhar</w:t>
      </w:r>
      <w:r w:rsidR="00F22272">
        <w:t>:</w:t>
      </w:r>
      <w:r>
        <w:t xml:space="preserve"> todos os componentes do grupo se encontram vitaliciamente</w:t>
      </w:r>
      <w:r w:rsidRPr="00120B05">
        <w:t xml:space="preserve"> </w:t>
      </w:r>
      <w:r>
        <w:t xml:space="preserve">pertencendo a seu estrato de idade; mas, com </w:t>
      </w:r>
      <w:r w:rsidR="00762304">
        <w:t xml:space="preserve">a </w:t>
      </w:r>
      <w:r>
        <w:t>incontornável responsabilidade comunitária que, se na África</w:t>
      </w:r>
      <w:r w:rsidR="009F1CCE">
        <w:t>,</w:t>
      </w:r>
      <w:r>
        <w:t xml:space="preserve"> decorre do nascimento material, na diáspora tem origem na aceitação ritual.</w:t>
      </w:r>
    </w:p>
    <w:p w:rsidR="001A7480" w:rsidRDefault="001A7480" w:rsidP="001A7480">
      <w:pPr>
        <w:widowControl w:val="0"/>
        <w:rPr>
          <w:i/>
        </w:rPr>
      </w:pPr>
      <w:r>
        <w:lastRenderedPageBreak/>
        <w:t xml:space="preserve">Portanto, o indivíduo se encontra, sempre, no entrecruzamento de duas linhas de pertencimento: a horizontal, da qual decorre o </w:t>
      </w:r>
      <w:proofErr w:type="spellStart"/>
      <w:r>
        <w:rPr>
          <w:i/>
        </w:rPr>
        <w:t>ubuntu</w:t>
      </w:r>
      <w:proofErr w:type="spellEnd"/>
      <w:r w:rsidR="009F1CCE" w:rsidRPr="00533B56">
        <w:rPr>
          <w:rStyle w:val="Refdenotaderodap"/>
        </w:rPr>
        <w:footnoteReference w:id="1"/>
      </w:r>
      <w:r>
        <w:t xml:space="preserve">, enquanto a vertical o identifica com sua linhagem, de onde recebe seu </w:t>
      </w:r>
      <w:r>
        <w:rPr>
          <w:i/>
        </w:rPr>
        <w:t>asè</w:t>
      </w:r>
      <w:r w:rsidR="00F22272">
        <w:t xml:space="preserve">; daí </w:t>
      </w:r>
      <w:r w:rsidRPr="00584326">
        <w:t>sua responsabilidade para com seus pares e sua descendência</w:t>
      </w:r>
      <w:r w:rsidR="00CD6D13">
        <w:t>,</w:t>
      </w:r>
      <w:r w:rsidRPr="00584326">
        <w:t xml:space="preserve"> o que funciona como pilar central em seu processo educacional comunitário</w:t>
      </w:r>
      <w:r w:rsidR="00CD6D13">
        <w:t>:</w:t>
      </w:r>
      <w:r>
        <w:t xml:space="preserve"> é desta visão que deriva sua colocação no mundo.</w:t>
      </w:r>
      <w:r w:rsidRPr="002E3735">
        <w:rPr>
          <w:i/>
        </w:rPr>
        <w:t xml:space="preserve"> </w:t>
      </w:r>
    </w:p>
    <w:p w:rsidR="001A7480" w:rsidRDefault="001A7480" w:rsidP="001A7480">
      <w:pPr>
        <w:widowControl w:val="0"/>
      </w:pPr>
      <w:r>
        <w:t xml:space="preserve">Decorre que o indivíduo é visto, sempre, como elo de duas cadeias que se unem, e o obrigam e personalizam enquanto pertencente tanto a seu grupo social, hierarquizado em faixas etárias, quanto à sua linhagem, conforme já ensinou Munanga; entendimento esse que torna necessário explicitar melhor no que consiste a filosofia </w:t>
      </w:r>
      <w:r w:rsidRPr="00120B05">
        <w:rPr>
          <w:i/>
        </w:rPr>
        <w:t>ubuntu</w:t>
      </w:r>
      <w:r>
        <w:t xml:space="preserve">; para tanto, cabe recorrer a Silva (2009), que resume tal conceito da seguinte forma: </w:t>
      </w:r>
    </w:p>
    <w:p w:rsidR="001A7480" w:rsidRDefault="001A7480" w:rsidP="001A7480">
      <w:pPr>
        <w:widowControl w:val="0"/>
      </w:pPr>
      <w:r>
        <w:t xml:space="preserve">. </w:t>
      </w:r>
      <w:r w:rsidRPr="004721D7">
        <w:t>filosofia que se refere à humanidade com os outros</w:t>
      </w:r>
      <w:r>
        <w:t xml:space="preserve">; </w:t>
      </w:r>
    </w:p>
    <w:p w:rsidR="001A7480" w:rsidRDefault="001A7480" w:rsidP="001A7480">
      <w:pPr>
        <w:widowControl w:val="0"/>
        <w:ind w:left="1560" w:hanging="142"/>
      </w:pPr>
      <w:r>
        <w:t xml:space="preserve">. </w:t>
      </w:r>
      <w:r w:rsidRPr="004721D7">
        <w:t>conceito amplo sobre a essência do ser humano e a forma de</w:t>
      </w:r>
      <w:r w:rsidR="001D41A5">
        <w:t>st</w:t>
      </w:r>
      <w:r w:rsidRPr="004721D7">
        <w:t xml:space="preserve">e </w:t>
      </w:r>
      <w:r>
        <w:t xml:space="preserve">se </w:t>
      </w:r>
      <w:r w:rsidRPr="004721D7">
        <w:t xml:space="preserve">comportar em sociedade: o que afeta </w:t>
      </w:r>
      <w:r>
        <w:t xml:space="preserve">o indivíduo, afeta a comunidade; </w:t>
      </w:r>
    </w:p>
    <w:p w:rsidR="001A7480" w:rsidRDefault="001A7480" w:rsidP="001A7480">
      <w:pPr>
        <w:widowControl w:val="0"/>
        <w:ind w:left="1560" w:hanging="142"/>
      </w:pPr>
      <w:r>
        <w:t xml:space="preserve">. </w:t>
      </w:r>
      <w:r w:rsidRPr="004721D7">
        <w:t>capacidade humana de compreender, aceitar e tratar bem o outro</w:t>
      </w:r>
      <w:r>
        <w:t xml:space="preserve">; </w:t>
      </w:r>
    </w:p>
    <w:p w:rsidR="001A7480" w:rsidRDefault="001A7480" w:rsidP="001A7480">
      <w:pPr>
        <w:widowControl w:val="0"/>
        <w:ind w:left="1560" w:hanging="142"/>
      </w:pPr>
      <w:r>
        <w:t xml:space="preserve">. </w:t>
      </w:r>
      <w:r w:rsidRPr="004721D7">
        <w:t xml:space="preserve">generosidade, solidariedade, compaixão, desejo sincero de felicidade e harmonia entre os </w:t>
      </w:r>
      <w:r>
        <w:t>membros do grupo</w:t>
      </w:r>
      <w:r w:rsidRPr="004721D7">
        <w:t>.</w:t>
      </w:r>
    </w:p>
    <w:p w:rsidR="001A7480" w:rsidRDefault="009F1C16" w:rsidP="001A7480">
      <w:pPr>
        <w:widowControl w:val="0"/>
      </w:pPr>
      <w:r>
        <w:t>Continua</w:t>
      </w:r>
      <w:r w:rsidR="00533B56">
        <w:t>n</w:t>
      </w:r>
      <w:r>
        <w:t>do,</w:t>
      </w:r>
      <w:r w:rsidR="00533B56">
        <w:t xml:space="preserve"> </w:t>
      </w:r>
      <w:r w:rsidR="001A7480">
        <w:t>Silva (2009, p. 24)</w:t>
      </w:r>
      <w:r w:rsidR="00533B56">
        <w:t xml:space="preserve"> </w:t>
      </w:r>
      <w:r>
        <w:t>expõe</w:t>
      </w:r>
      <w:r w:rsidR="001A7480">
        <w:t xml:space="preserve">, recorrendo a </w:t>
      </w:r>
      <w:proofErr w:type="spellStart"/>
      <w:r w:rsidR="001A7480">
        <w:t>Tempels</w:t>
      </w:r>
      <w:proofErr w:type="spellEnd"/>
      <w:r w:rsidR="001A7480">
        <w:t xml:space="preserve"> (1949): “[..] o mundo é constituído de energia, de força em constante movimento e alteração, do mesmo modo [como] a física explica o mundo físico</w:t>
      </w:r>
      <w:r w:rsidR="00CD6D13">
        <w:t>”</w:t>
      </w:r>
      <w:r w:rsidR="001A7480">
        <w:t xml:space="preserve">. </w:t>
      </w:r>
    </w:p>
    <w:p w:rsidR="001A7480" w:rsidRDefault="001A7480" w:rsidP="001A7480">
      <w:pPr>
        <w:widowControl w:val="0"/>
      </w:pPr>
      <w:r>
        <w:t xml:space="preserve">Note-se que, diante desta dissecação, resta claro que a filosofia </w:t>
      </w:r>
      <w:r w:rsidRPr="00A36634">
        <w:rPr>
          <w:i/>
        </w:rPr>
        <w:t>ubuntu</w:t>
      </w:r>
      <w:r>
        <w:t xml:space="preserve"> considera o ser humano, por consciente, responsável, em grupo, pela preservação de toda a natureza; mas, também o coloca, como indivíduo, </w:t>
      </w:r>
      <w:r w:rsidR="001D41A5">
        <w:t>dependente d</w:t>
      </w:r>
      <w:r>
        <w:t>a efetiva colaboração grupal, geradora da circularidade da cultura</w:t>
      </w:r>
      <w:r w:rsidR="00E543F6"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Is</w:t>
      </w:r>
      <w:r w:rsidR="00482E0F">
        <w:rPr>
          <w:lang w:eastAsia="pt-BR"/>
        </w:rPr>
        <w:t>t</w:t>
      </w:r>
      <w:r>
        <w:rPr>
          <w:lang w:eastAsia="pt-BR"/>
        </w:rPr>
        <w:t>o posto, parece ser es</w:t>
      </w:r>
      <w:r w:rsidR="00CD6D13">
        <w:rPr>
          <w:lang w:eastAsia="pt-BR"/>
        </w:rPr>
        <w:t>t</w:t>
      </w:r>
      <w:r>
        <w:rPr>
          <w:lang w:eastAsia="pt-BR"/>
        </w:rPr>
        <w:t>e o momento certo para que os fundamentos pedagógicos possam ser apresentados.</w:t>
      </w:r>
    </w:p>
    <w:p w:rsidR="001A7480" w:rsidRPr="001D41A5" w:rsidRDefault="001A7480" w:rsidP="001D41A5">
      <w:pPr>
        <w:pStyle w:val="Ttulo2"/>
      </w:pPr>
      <w:bookmarkStart w:id="4" w:name="_Toc509074312"/>
      <w:r w:rsidRPr="001D41A5">
        <w:t>Fundamentos pedagógicos</w:t>
      </w:r>
      <w:bookmarkEnd w:id="4"/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No momento seguinte e durante o ritual de iniciação</w:t>
      </w:r>
      <w:r w:rsidR="00500976">
        <w:rPr>
          <w:lang w:eastAsia="pt-BR"/>
        </w:rPr>
        <w:t xml:space="preserve"> </w:t>
      </w:r>
      <w:r w:rsidR="00E543F6">
        <w:rPr>
          <w:lang w:eastAsia="pt-BR"/>
        </w:rPr>
        <w:t>sócio religiosa</w:t>
      </w:r>
      <w:r>
        <w:rPr>
          <w:lang w:eastAsia="pt-BR"/>
        </w:rPr>
        <w:t xml:space="preserve">, </w:t>
      </w:r>
      <w:r w:rsidR="00E543F6">
        <w:rPr>
          <w:lang w:eastAsia="pt-BR"/>
        </w:rPr>
        <w:t xml:space="preserve">tanto na África quanto na diáspora, </w:t>
      </w:r>
      <w:r>
        <w:rPr>
          <w:lang w:eastAsia="pt-BR"/>
        </w:rPr>
        <w:t xml:space="preserve">os ensinos priorizam o comportamento </w:t>
      </w:r>
      <w:r w:rsidR="00E543F6">
        <w:rPr>
          <w:lang w:eastAsia="pt-BR"/>
        </w:rPr>
        <w:t>comunitário</w:t>
      </w:r>
      <w:r>
        <w:rPr>
          <w:lang w:eastAsia="pt-BR"/>
        </w:rPr>
        <w:t xml:space="preserve">, as posturas diante da hierarquia e da genealogia da </w:t>
      </w:r>
      <w:r w:rsidR="00CD6D13">
        <w:rPr>
          <w:lang w:eastAsia="pt-BR"/>
        </w:rPr>
        <w:t>comunidade</w:t>
      </w:r>
      <w:r>
        <w:rPr>
          <w:lang w:eastAsia="pt-BR"/>
        </w:rPr>
        <w:t xml:space="preserve"> em que o ritual acontece, bem como as exigências, obrigações e interdições, temporárias ou não, que o sagrado requer d</w:t>
      </w:r>
      <w:r w:rsidR="00500976">
        <w:rPr>
          <w:lang w:eastAsia="pt-BR"/>
        </w:rPr>
        <w:t>o</w:t>
      </w:r>
      <w:r>
        <w:rPr>
          <w:lang w:eastAsia="pt-BR"/>
        </w:rPr>
        <w:t xml:space="preserve"> iniciando. 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lastRenderedPageBreak/>
        <w:t xml:space="preserve">Passado o ritual, o noviço adquire o </w:t>
      </w:r>
      <w:r>
        <w:rPr>
          <w:i/>
          <w:lang w:eastAsia="pt-BR"/>
        </w:rPr>
        <w:t>status</w:t>
      </w:r>
      <w:r>
        <w:rPr>
          <w:lang w:eastAsia="pt-BR"/>
        </w:rPr>
        <w:t xml:space="preserve"> de membro efetivo de sua nova família, à qual passa a pertencer</w:t>
      </w:r>
      <w:r w:rsidR="00E543F6">
        <w:rPr>
          <w:lang w:eastAsia="pt-BR"/>
        </w:rPr>
        <w:t>, por laços sagrados</w:t>
      </w:r>
      <w:r w:rsidR="00E543F6">
        <w:rPr>
          <w:lang w:eastAsia="pt-BR"/>
        </w:rPr>
        <w:t>, como adulto em formação</w:t>
      </w:r>
      <w:r>
        <w:rPr>
          <w:lang w:eastAsia="pt-BR"/>
        </w:rPr>
        <w:t xml:space="preserve">: portanto, é de seu dever </w:t>
      </w:r>
      <w:r w:rsidR="00E543F6">
        <w:rPr>
          <w:lang w:eastAsia="pt-BR"/>
        </w:rPr>
        <w:t>a busca d</w:t>
      </w:r>
      <w:r>
        <w:rPr>
          <w:lang w:eastAsia="pt-BR"/>
        </w:rPr>
        <w:t>o conhecimento dos ritos, profanos ou não, adotados pela comunidade; o que pode ser atingido por alguns caminhos, que se apresentam concomitantes</w:t>
      </w:r>
      <w:r w:rsidR="00482E0F">
        <w:rPr>
          <w:lang w:eastAsia="pt-BR"/>
        </w:rPr>
        <w:t>;</w:t>
      </w:r>
      <w:r>
        <w:rPr>
          <w:lang w:eastAsia="pt-BR"/>
        </w:rPr>
        <w:t xml:space="preserve"> mas</w:t>
      </w:r>
      <w:r w:rsidR="00482E0F">
        <w:rPr>
          <w:lang w:eastAsia="pt-BR"/>
        </w:rPr>
        <w:t>,</w:t>
      </w:r>
      <w:r>
        <w:rPr>
          <w:lang w:eastAsia="pt-BR"/>
        </w:rPr>
        <w:t xml:space="preserve"> não excludentes entre si.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O principal deles é a </w:t>
      </w:r>
      <w:r>
        <w:rPr>
          <w:u w:val="single"/>
          <w:lang w:eastAsia="pt-BR"/>
        </w:rPr>
        <w:t>curiosidade provocada</w:t>
      </w:r>
      <w:r>
        <w:rPr>
          <w:lang w:eastAsia="pt-BR"/>
        </w:rPr>
        <w:t xml:space="preserve"> no próprio aprendiz, visto que é de se</w:t>
      </w:r>
      <w:r w:rsidR="00500976">
        <w:rPr>
          <w:lang w:eastAsia="pt-BR"/>
        </w:rPr>
        <w:t>u</w:t>
      </w:r>
      <w:r>
        <w:rPr>
          <w:lang w:eastAsia="pt-BR"/>
        </w:rPr>
        <w:t xml:space="preserve"> dever demonstrar interesse em aprender, o que se manifesta por sua oferta voluntária em auxiliar quem quer que se encontre fazendo o que quer que seja; outro caminho tem o mesmo efeito, mesmo à revelia do aprendiz: é quando alguém, com maior longevidade religiosa, o encarrega de executar ou auxiliar em alguma tarefa.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Neste momento, o noviço pode ser incumbido de fazeres, sagrados ou não, mas ainda simples, similares ou pouco mais complexos que os anteriores: a arrumação ou o enfeite dos locais onde os ritos acontecem, o auxílio na cozinha, quer ritual, quer profana, etc., em que procedimentos adequados lhe são ensinados, mesmo sem qualquer justificativa para es</w:t>
      </w:r>
      <w:r w:rsidR="00E543F6">
        <w:rPr>
          <w:lang w:eastAsia="pt-BR"/>
        </w:rPr>
        <w:t>t</w:t>
      </w:r>
      <w:r>
        <w:rPr>
          <w:lang w:eastAsia="pt-BR"/>
        </w:rPr>
        <w:t xml:space="preserve">e ou aquele </w:t>
      </w:r>
      <w:r w:rsidR="00E543F6">
        <w:rPr>
          <w:lang w:eastAsia="pt-BR"/>
        </w:rPr>
        <w:t>a</w:t>
      </w:r>
      <w:r>
        <w:rPr>
          <w:lang w:eastAsia="pt-BR"/>
        </w:rPr>
        <w:t>fazer, es</w:t>
      </w:r>
      <w:r w:rsidR="00E543F6">
        <w:rPr>
          <w:lang w:eastAsia="pt-BR"/>
        </w:rPr>
        <w:t>t</w:t>
      </w:r>
      <w:r>
        <w:rPr>
          <w:lang w:eastAsia="pt-BR"/>
        </w:rPr>
        <w:t>a ou aquela postura, proibição ou exigência</w:t>
      </w:r>
      <w:r w:rsidR="00500976">
        <w:rPr>
          <w:lang w:eastAsia="pt-BR"/>
        </w:rPr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No mesmo sentido e com o mesmo teor, vem a participação obrigatória em rituais de purificação ou de oferenda </w:t>
      </w:r>
      <w:r w:rsidR="00CD6D13">
        <w:rPr>
          <w:lang w:eastAsia="pt-BR"/>
        </w:rPr>
        <w:t>às divindades</w:t>
      </w:r>
      <w:r>
        <w:rPr>
          <w:lang w:eastAsia="pt-BR"/>
        </w:rPr>
        <w:t>, o que ocorre em conjunto com toda a comunidade.</w:t>
      </w:r>
    </w:p>
    <w:p w:rsidR="00500976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Como decorrência o aprendiz, se efetivamente interessado em aprender, se defronta com outro instrumento educacional muito utilizado e de grande eficácia para a transmissão de </w:t>
      </w:r>
      <w:r w:rsidR="00CD6D13">
        <w:rPr>
          <w:lang w:eastAsia="pt-BR"/>
        </w:rPr>
        <w:t>conhecimentos</w:t>
      </w:r>
      <w:r>
        <w:rPr>
          <w:lang w:eastAsia="pt-BR"/>
        </w:rPr>
        <w:t xml:space="preserve"> nes</w:t>
      </w:r>
      <w:r w:rsidR="00CD6D13">
        <w:rPr>
          <w:lang w:eastAsia="pt-BR"/>
        </w:rPr>
        <w:t>t</w:t>
      </w:r>
      <w:r>
        <w:rPr>
          <w:lang w:eastAsia="pt-BR"/>
        </w:rPr>
        <w:t>e ambiente</w:t>
      </w:r>
      <w:r w:rsidR="00E543F6">
        <w:rPr>
          <w:lang w:eastAsia="pt-BR"/>
        </w:rPr>
        <w:t>, que é tanto</w:t>
      </w:r>
      <w:r>
        <w:rPr>
          <w:lang w:eastAsia="pt-BR"/>
        </w:rPr>
        <w:t xml:space="preserve"> religioso</w:t>
      </w:r>
      <w:r w:rsidR="00E543F6">
        <w:rPr>
          <w:lang w:eastAsia="pt-BR"/>
        </w:rPr>
        <w:t xml:space="preserve"> quanto social</w:t>
      </w:r>
      <w:r>
        <w:rPr>
          <w:lang w:eastAsia="pt-BR"/>
        </w:rPr>
        <w:t xml:space="preserve">: o </w:t>
      </w:r>
      <w:r>
        <w:rPr>
          <w:u w:val="single"/>
          <w:lang w:eastAsia="pt-BR"/>
        </w:rPr>
        <w:t>fazer para saber</w:t>
      </w:r>
      <w:r>
        <w:rPr>
          <w:lang w:eastAsia="pt-BR"/>
        </w:rPr>
        <w:t xml:space="preserve">, que exige atenção, dedicação, tempo, interesse e disponibilidade. 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Ou seja: n</w:t>
      </w:r>
      <w:r w:rsidR="00CD6D13">
        <w:rPr>
          <w:lang w:eastAsia="pt-BR"/>
        </w:rPr>
        <w:t xml:space="preserve">este modelo </w:t>
      </w:r>
      <w:r w:rsidR="00482E0F">
        <w:rPr>
          <w:lang w:eastAsia="pt-BR"/>
        </w:rPr>
        <w:t>educacional</w:t>
      </w:r>
      <w:r>
        <w:rPr>
          <w:lang w:eastAsia="pt-BR"/>
        </w:rPr>
        <w:t>, a transmissão de conhecimentos se dá, em grande monta, a partir da curiosidade do aprendiz; é ele o motor do processo, ao apresentar dúvidas e inseguranças, que decorrem do fazer sem saber o fundamento do que faz</w:t>
      </w:r>
      <w:r w:rsidR="00CD6D13">
        <w:rPr>
          <w:lang w:eastAsia="pt-BR"/>
        </w:rPr>
        <w:t>;</w:t>
      </w:r>
      <w:r>
        <w:rPr>
          <w:lang w:eastAsia="pt-BR"/>
        </w:rPr>
        <w:t xml:space="preserve"> </w:t>
      </w:r>
      <w:r w:rsidR="00500976">
        <w:rPr>
          <w:lang w:eastAsia="pt-BR"/>
        </w:rPr>
        <w:t>o que pode levá-lo a</w:t>
      </w:r>
      <w:r>
        <w:rPr>
          <w:lang w:eastAsia="pt-BR"/>
        </w:rPr>
        <w:t xml:space="preserve"> estranha</w:t>
      </w:r>
      <w:r w:rsidR="00500976">
        <w:rPr>
          <w:lang w:eastAsia="pt-BR"/>
        </w:rPr>
        <w:t>r</w:t>
      </w:r>
      <w:r>
        <w:rPr>
          <w:lang w:eastAsia="pt-BR"/>
        </w:rPr>
        <w:t xml:space="preserve"> e encontra</w:t>
      </w:r>
      <w:r w:rsidR="00500976">
        <w:rPr>
          <w:lang w:eastAsia="pt-BR"/>
        </w:rPr>
        <w:t>r</w:t>
      </w:r>
      <w:r>
        <w:rPr>
          <w:lang w:eastAsia="pt-BR"/>
        </w:rPr>
        <w:t xml:space="preserve"> dificuldades no fazer</w:t>
      </w:r>
      <w:r w:rsidR="00500976">
        <w:rPr>
          <w:lang w:eastAsia="pt-BR"/>
        </w:rPr>
        <w:t>,</w:t>
      </w:r>
      <w:r>
        <w:rPr>
          <w:lang w:eastAsia="pt-BR"/>
        </w:rPr>
        <w:t xml:space="preserve"> antes de conhecer a teoria.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Daí novos instrumentos aparecem como atuantes: o </w:t>
      </w:r>
      <w:r>
        <w:rPr>
          <w:u w:val="single"/>
          <w:lang w:eastAsia="pt-BR"/>
        </w:rPr>
        <w:t xml:space="preserve">erro como potencializador </w:t>
      </w:r>
      <w:r>
        <w:rPr>
          <w:lang w:eastAsia="pt-BR"/>
        </w:rPr>
        <w:t xml:space="preserve">e a </w:t>
      </w:r>
      <w:bookmarkEnd w:id="1"/>
      <w:r w:rsidRPr="00A54356">
        <w:rPr>
          <w:u w:val="single"/>
          <w:lang w:eastAsia="pt-BR"/>
        </w:rPr>
        <w:t>curiosidade provocada</w:t>
      </w:r>
      <w:r>
        <w:rPr>
          <w:i/>
          <w:lang w:eastAsia="pt-BR"/>
        </w:rPr>
        <w:t xml:space="preserve"> </w:t>
      </w:r>
      <w:r>
        <w:rPr>
          <w:lang w:eastAsia="pt-BR"/>
        </w:rPr>
        <w:t>passam a movimentar o neófito em direção a quem tem maior longevidade ritual, ou seja: em direção aos “mais velhos”. Mas, quem é “mais velho”?</w:t>
      </w:r>
    </w:p>
    <w:p w:rsidR="00CD6D13" w:rsidRDefault="00500976" w:rsidP="001A7480">
      <w:r>
        <w:rPr>
          <w:lang w:eastAsia="pt-BR"/>
        </w:rPr>
        <w:t>N</w:t>
      </w:r>
      <w:r w:rsidR="00CD6D13">
        <w:t>est</w:t>
      </w:r>
      <w:r w:rsidR="00482E0F">
        <w:t>e modelo</w:t>
      </w:r>
      <w:r w:rsidR="001A7480">
        <w:t>,</w:t>
      </w:r>
      <w:r w:rsidR="001A7480" w:rsidRPr="0009005F">
        <w:t xml:space="preserve"> </w:t>
      </w:r>
      <w:r w:rsidR="00482E0F">
        <w:t xml:space="preserve">a </w:t>
      </w:r>
      <w:r w:rsidR="001A7480" w:rsidRPr="0009005F">
        <w:t>idade</w:t>
      </w:r>
      <w:r w:rsidR="00482E0F">
        <w:t>, quer real</w:t>
      </w:r>
      <w:r w:rsidR="00E543F6">
        <w:t>,</w:t>
      </w:r>
      <w:r w:rsidR="00482E0F">
        <w:t xml:space="preserve"> quer</w:t>
      </w:r>
      <w:r w:rsidR="001A7480" w:rsidRPr="0009005F">
        <w:t xml:space="preserve"> </w:t>
      </w:r>
      <w:r w:rsidR="001A7480">
        <w:t>ritual</w:t>
      </w:r>
      <w:r w:rsidR="00482E0F">
        <w:t>,</w:t>
      </w:r>
      <w:r w:rsidR="001A7480">
        <w:t xml:space="preserve"> é </w:t>
      </w:r>
      <w:r w:rsidR="001A7480" w:rsidRPr="0009005F">
        <w:t>posto: um ano,</w:t>
      </w:r>
      <w:r w:rsidR="001A7480">
        <w:t xml:space="preserve"> u</w:t>
      </w:r>
      <w:r w:rsidR="001A7480" w:rsidRPr="0009005F">
        <w:t>m dia a mais,</w:t>
      </w:r>
      <w:r w:rsidR="001A7480">
        <w:t xml:space="preserve"> </w:t>
      </w:r>
      <w:r w:rsidR="00CD6D13">
        <w:t xml:space="preserve">torna alguém </w:t>
      </w:r>
      <w:r w:rsidR="001A7480" w:rsidRPr="0009005F">
        <w:t>mais velho</w:t>
      </w:r>
      <w:r w:rsidR="00CD6D13">
        <w:t>: portanto,</w:t>
      </w:r>
      <w:r w:rsidR="001A7480" w:rsidRPr="0009005F">
        <w:t xml:space="preserve"> e</w:t>
      </w:r>
      <w:r>
        <w:t>nsinante.</w:t>
      </w:r>
      <w:r w:rsidR="001A7480" w:rsidRPr="0009005F">
        <w:t xml:space="preserve"> E </w:t>
      </w:r>
      <w:r w:rsidR="00482E0F">
        <w:t xml:space="preserve">todos </w:t>
      </w:r>
      <w:r w:rsidR="001A7480" w:rsidRPr="0009005F">
        <w:t>o</w:t>
      </w:r>
      <w:r w:rsidR="00482E0F">
        <w:t>s</w:t>
      </w:r>
      <w:r w:rsidR="001A7480" w:rsidRPr="0009005F">
        <w:t xml:space="preserve"> mais velho</w:t>
      </w:r>
      <w:r w:rsidR="00482E0F">
        <w:t>s são</w:t>
      </w:r>
      <w:r>
        <w:t xml:space="preserve">, </w:t>
      </w:r>
      <w:r w:rsidR="00F577BA">
        <w:t xml:space="preserve">sempre, </w:t>
      </w:r>
      <w:r w:rsidR="00F577BA" w:rsidRPr="0009005F">
        <w:lastRenderedPageBreak/>
        <w:t>responsáve</w:t>
      </w:r>
      <w:r w:rsidR="00482E0F">
        <w:t>is</w:t>
      </w:r>
      <w:r w:rsidR="001A7480" w:rsidRPr="0009005F">
        <w:t xml:space="preserve"> pelo</w:t>
      </w:r>
      <w:r w:rsidR="00482E0F">
        <w:t>s</w:t>
      </w:r>
      <w:r w:rsidR="001A7480" w:rsidRPr="0009005F">
        <w:t xml:space="preserve"> mais novo</w:t>
      </w:r>
      <w:r w:rsidR="00482E0F">
        <w:t>s</w:t>
      </w:r>
      <w:r w:rsidR="001A7480">
        <w:t>:</w:t>
      </w:r>
      <w:r w:rsidRPr="00023C7D">
        <w:t xml:space="preserve"> </w:t>
      </w:r>
      <w:r w:rsidR="00482E0F">
        <w:t xml:space="preserve">eis </w:t>
      </w:r>
      <w:r>
        <w:t>a</w:t>
      </w:r>
      <w:r w:rsidR="001A7480" w:rsidRPr="00023C7D">
        <w:t xml:space="preserve"> tradição como coisa sagrada</w:t>
      </w:r>
      <w:r w:rsidR="00E543F6">
        <w:t>; também</w:t>
      </w:r>
      <w:r w:rsidR="001A7480" w:rsidRPr="00023C7D">
        <w:t xml:space="preserve"> a hierarquia</w:t>
      </w:r>
      <w:r>
        <w:t>, baseada na longevidade</w:t>
      </w:r>
      <w:r w:rsidR="00482E0F">
        <w:t>, tanto real quanto</w:t>
      </w:r>
      <w:r>
        <w:t xml:space="preserve"> ritual, co</w:t>
      </w:r>
      <w:r w:rsidR="001A7480" w:rsidRPr="00023C7D">
        <w:t>m</w:t>
      </w:r>
      <w:r>
        <w:t>o incontornável postura social.</w:t>
      </w:r>
      <w:r w:rsidR="001A7480" w:rsidRPr="00023C7D">
        <w:t xml:space="preserve"> </w:t>
      </w:r>
    </w:p>
    <w:p w:rsidR="001A7480" w:rsidRDefault="001A7480" w:rsidP="001A7480">
      <w:r w:rsidRPr="00023C7D">
        <w:t>Os mais velhos</w:t>
      </w:r>
      <w:r w:rsidR="00500976">
        <w:t xml:space="preserve">, por obrigação </w:t>
      </w:r>
      <w:r w:rsidR="00482E0F">
        <w:t xml:space="preserve">social e </w:t>
      </w:r>
      <w:r w:rsidR="00500976">
        <w:t>ritual,</w:t>
      </w:r>
      <w:r w:rsidRPr="00023C7D">
        <w:t xml:space="preserve"> ensinam os que v</w:t>
      </w:r>
      <w:r w:rsidR="00500976">
        <w:t>ê</w:t>
      </w:r>
      <w:r w:rsidRPr="00023C7D">
        <w:t>m depois</w:t>
      </w:r>
      <w:r w:rsidR="00CD6D13">
        <w:t>; o que, em circularidade, os obriga à atualização e à reciclagem constante.</w:t>
      </w:r>
    </w:p>
    <w:p w:rsidR="001A7480" w:rsidRDefault="001A7480" w:rsidP="001A7480">
      <w:pPr>
        <w:widowControl w:val="0"/>
      </w:pPr>
      <w:r>
        <w:rPr>
          <w:lang w:eastAsia="pt-BR"/>
        </w:rPr>
        <w:t>Quanto a isso, cabe re</w:t>
      </w:r>
      <w:r w:rsidR="00500976">
        <w:rPr>
          <w:lang w:eastAsia="pt-BR"/>
        </w:rPr>
        <w:t>ssalt</w:t>
      </w:r>
      <w:r>
        <w:rPr>
          <w:lang w:eastAsia="pt-BR"/>
        </w:rPr>
        <w:t xml:space="preserve">ar </w:t>
      </w:r>
      <w:r w:rsidR="00E543F6">
        <w:rPr>
          <w:lang w:eastAsia="pt-BR"/>
        </w:rPr>
        <w:t xml:space="preserve">a </w:t>
      </w:r>
      <w:r>
        <w:rPr>
          <w:lang w:eastAsia="pt-BR"/>
        </w:rPr>
        <w:t>fala</w:t>
      </w:r>
      <w:r w:rsidR="00E543F6">
        <w:rPr>
          <w:lang w:eastAsia="pt-BR"/>
        </w:rPr>
        <w:t>,</w:t>
      </w:r>
      <w:r>
        <w:rPr>
          <w:lang w:eastAsia="pt-BR"/>
        </w:rPr>
        <w:t xml:space="preserve"> captada por </w:t>
      </w:r>
      <w:r w:rsidRPr="00F7243E">
        <w:t>Caputo</w:t>
      </w:r>
      <w:r>
        <w:t xml:space="preserve"> (</w:t>
      </w:r>
      <w:r w:rsidRPr="00F7243E">
        <w:t>2012, p. 13</w:t>
      </w:r>
      <w:r>
        <w:t>)</w:t>
      </w:r>
      <w:r w:rsidR="00500976">
        <w:t>, em seus vinte anos de pesquisa em Casa de Culto de candomblé</w:t>
      </w:r>
      <w:r w:rsidR="00482E0F">
        <w:t xml:space="preserve"> d</w:t>
      </w:r>
      <w:r w:rsidR="00500976">
        <w:t>a Baixada Fluminense:</w:t>
      </w:r>
      <w:r w:rsidRPr="00F7243E">
        <w:t xml:space="preserve"> “Eu aprendo errando. Quando a gente erra é bom porque vem alguém e diz como é. Aí a gente repete a gestualidade, dança certo, canta do jeito certo. [...]”. </w:t>
      </w:r>
    </w:p>
    <w:p w:rsidR="001A7480" w:rsidRDefault="00CD6D13" w:rsidP="001A7480">
      <w:pPr>
        <w:widowControl w:val="0"/>
        <w:rPr>
          <w:lang w:eastAsia="pt-BR"/>
        </w:rPr>
      </w:pPr>
      <w:r>
        <w:rPr>
          <w:lang w:eastAsia="pt-BR"/>
        </w:rPr>
        <w:t>Portanto,</w:t>
      </w:r>
      <w:r w:rsidR="001A7480">
        <w:rPr>
          <w:lang w:eastAsia="pt-BR"/>
        </w:rPr>
        <w:t xml:space="preserve"> a curiosidade por entender o que está acontecendo advém naturalmente, invertendo o sentido do processo escolar </w:t>
      </w:r>
      <w:r>
        <w:rPr>
          <w:lang w:eastAsia="pt-BR"/>
        </w:rPr>
        <w:t xml:space="preserve">tradicional </w:t>
      </w:r>
      <w:r w:rsidR="001A7480">
        <w:rPr>
          <w:lang w:eastAsia="pt-BR"/>
        </w:rPr>
        <w:t>de ensino, sem que</w:t>
      </w:r>
      <w:r>
        <w:rPr>
          <w:lang w:eastAsia="pt-BR"/>
        </w:rPr>
        <w:t>,</w:t>
      </w:r>
      <w:r w:rsidR="001A7480">
        <w:rPr>
          <w:lang w:eastAsia="pt-BR"/>
        </w:rPr>
        <w:t xml:space="preserve"> em momento algum, e até por força da hierarquia e longevidade, o ensinante perca seu poder de controle.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Como decorrência, o ensino acontece preenchendo a curiosidade do aprendiz, com o que está descartado o ensino “bancário” tão condenado por Freire (1987), visto que o aprendizado se dá pelo caminho fazer para saber, não saber para fazer, como é típico da prática pedagógica escolar</w:t>
      </w:r>
      <w:r w:rsidR="005C697D">
        <w:rPr>
          <w:lang w:eastAsia="pt-BR"/>
        </w:rPr>
        <w:t>, quando formalizada e</w:t>
      </w:r>
      <w:r w:rsidR="00CD6D13">
        <w:rPr>
          <w:lang w:eastAsia="pt-BR"/>
        </w:rPr>
        <w:t xml:space="preserve"> tradicional</w:t>
      </w:r>
      <w:r>
        <w:rPr>
          <w:lang w:eastAsia="pt-BR"/>
        </w:rPr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Diferencial importante que esta dinâmica produz no método de aprendizado, é que a </w:t>
      </w:r>
      <w:r w:rsidRPr="00CA53E3">
        <w:rPr>
          <w:u w:val="single"/>
          <w:lang w:eastAsia="pt-BR"/>
        </w:rPr>
        <w:t>transferência de saberes circula por demanda</w:t>
      </w:r>
      <w:r>
        <w:rPr>
          <w:lang w:eastAsia="pt-BR"/>
        </w:rPr>
        <w:t>, não por oferta. Ou seja: a prioridade do conteúdo abordado responde a dúvidas e erros do aprendiz, não a qualquer aula preparada em que a teoria antecede a prática, marca i</w:t>
      </w:r>
      <w:r w:rsidR="003747B7">
        <w:rPr>
          <w:lang w:eastAsia="pt-BR"/>
        </w:rPr>
        <w:t xml:space="preserve">mportante </w:t>
      </w:r>
      <w:r>
        <w:rPr>
          <w:lang w:eastAsia="pt-BR"/>
        </w:rPr>
        <w:t>do ensino escolar ocidental tradicional.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Assim sendo, o aprendizado se vale da lógica, não da memória, porque a explicação encontra lugar certo onde se assentar no intelecto do aprendiz: o espaço aberto pela dúvida, que é preenchido pela explicação</w:t>
      </w:r>
      <w:r w:rsidR="00482E0F">
        <w:rPr>
          <w:lang w:eastAsia="pt-BR"/>
        </w:rPr>
        <w:t>;</w:t>
      </w:r>
      <w:r w:rsidR="003747B7">
        <w:rPr>
          <w:lang w:eastAsia="pt-BR"/>
        </w:rPr>
        <w:t xml:space="preserve"> o que torna fluído e solto o que seria o currículo que, no entanto, não perde sua eficácia, porque totalmente adaptado ao conhecimento e às carências do aprendiz</w:t>
      </w:r>
      <w:r w:rsidR="005C697D">
        <w:rPr>
          <w:lang w:eastAsia="pt-BR"/>
        </w:rPr>
        <w:t>, e ajustado pelo constante controle social</w:t>
      </w:r>
      <w:r w:rsidR="003747B7">
        <w:rPr>
          <w:lang w:eastAsia="pt-BR"/>
        </w:rPr>
        <w:t>.</w:t>
      </w:r>
    </w:p>
    <w:p w:rsidR="001A7480" w:rsidRDefault="003747B7" w:rsidP="001A7480">
      <w:pPr>
        <w:widowControl w:val="0"/>
        <w:rPr>
          <w:lang w:eastAsia="pt-BR"/>
        </w:rPr>
      </w:pPr>
      <w:r>
        <w:rPr>
          <w:lang w:eastAsia="pt-BR"/>
        </w:rPr>
        <w:t>Isto posto, destaque-se que, diante deste entendimento</w:t>
      </w:r>
      <w:r w:rsidR="001A7480">
        <w:rPr>
          <w:lang w:eastAsia="pt-BR"/>
        </w:rPr>
        <w:t xml:space="preserve"> </w:t>
      </w:r>
      <w:r>
        <w:rPr>
          <w:lang w:eastAsia="pt-BR"/>
        </w:rPr>
        <w:t>e coerente c</w:t>
      </w:r>
      <w:r w:rsidR="00F577BA">
        <w:rPr>
          <w:lang w:eastAsia="pt-BR"/>
        </w:rPr>
        <w:t>o</w:t>
      </w:r>
      <w:r>
        <w:rPr>
          <w:lang w:eastAsia="pt-BR"/>
        </w:rPr>
        <w:t xml:space="preserve">m </w:t>
      </w:r>
      <w:r w:rsidR="00F577BA">
        <w:rPr>
          <w:lang w:eastAsia="pt-BR"/>
        </w:rPr>
        <w:t>o</w:t>
      </w:r>
      <w:r>
        <w:rPr>
          <w:lang w:eastAsia="pt-BR"/>
        </w:rPr>
        <w:t xml:space="preserve"> mesmo</w:t>
      </w:r>
      <w:r w:rsidR="001A7480">
        <w:rPr>
          <w:lang w:eastAsia="pt-BR"/>
        </w:rPr>
        <w:t xml:space="preserve">, </w:t>
      </w:r>
      <w:r>
        <w:rPr>
          <w:lang w:eastAsia="pt-BR"/>
        </w:rPr>
        <w:t xml:space="preserve">é permitido, </w:t>
      </w:r>
      <w:r w:rsidR="001A7480">
        <w:rPr>
          <w:lang w:eastAsia="pt-BR"/>
        </w:rPr>
        <w:t>ao “mais velho”</w:t>
      </w:r>
      <w:r>
        <w:rPr>
          <w:lang w:eastAsia="pt-BR"/>
        </w:rPr>
        <w:t>,</w:t>
      </w:r>
      <w:r w:rsidR="001A7480">
        <w:rPr>
          <w:lang w:eastAsia="pt-BR"/>
        </w:rPr>
        <w:t xml:space="preserve"> negar a informação</w:t>
      </w:r>
      <w:r>
        <w:rPr>
          <w:lang w:eastAsia="pt-BR"/>
        </w:rPr>
        <w:t xml:space="preserve"> solicitada</w:t>
      </w:r>
      <w:r w:rsidR="001A7480">
        <w:rPr>
          <w:lang w:eastAsia="pt-BR"/>
        </w:rPr>
        <w:t xml:space="preserve">, quer por questões de imaturidade do noviço, quer por decorrência de interditos rituais ou, ainda e no extremo, pela própria insegurança em transmitir conhecimentos sobre os quais o próprio questionado ainda está na fase </w:t>
      </w:r>
      <w:r w:rsidR="001A7480">
        <w:rPr>
          <w:u w:val="single"/>
          <w:lang w:eastAsia="pt-BR"/>
        </w:rPr>
        <w:t>fazer para saber</w:t>
      </w:r>
      <w:r w:rsidR="001A7480">
        <w:rPr>
          <w:lang w:eastAsia="pt-BR"/>
        </w:rPr>
        <w:t xml:space="preserve">, e não quer demonstrar tal ignorância por força do </w:t>
      </w:r>
      <w:r w:rsidR="001A7480">
        <w:rPr>
          <w:u w:val="single"/>
          <w:lang w:eastAsia="pt-BR"/>
        </w:rPr>
        <w:t>intenso controle social</w:t>
      </w:r>
      <w:r w:rsidR="001A7480">
        <w:rPr>
          <w:lang w:eastAsia="pt-BR"/>
        </w:rPr>
        <w:t xml:space="preserve"> a que está sujeito</w:t>
      </w:r>
      <w:r w:rsidR="005C697D">
        <w:rPr>
          <w:lang w:eastAsia="pt-BR"/>
        </w:rPr>
        <w:t>;</w:t>
      </w:r>
      <w:r>
        <w:rPr>
          <w:lang w:eastAsia="pt-BR"/>
        </w:rPr>
        <w:t xml:space="preserve"> que será abordado </w:t>
      </w:r>
      <w:r w:rsidR="005C697D">
        <w:rPr>
          <w:lang w:eastAsia="pt-BR"/>
        </w:rPr>
        <w:t xml:space="preserve">logo </w:t>
      </w:r>
      <w:r>
        <w:rPr>
          <w:lang w:eastAsia="pt-BR"/>
        </w:rPr>
        <w:t>adiante</w:t>
      </w:r>
      <w:r w:rsidR="001A7480">
        <w:rPr>
          <w:lang w:eastAsia="pt-BR"/>
        </w:rPr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É quando se apresenta outro portentoso instrumento de ensino </w:t>
      </w:r>
      <w:r w:rsidR="003A0D81">
        <w:rPr>
          <w:lang w:eastAsia="pt-BR"/>
        </w:rPr>
        <w:t>ali presente</w:t>
      </w:r>
      <w:r>
        <w:rPr>
          <w:lang w:eastAsia="pt-BR"/>
        </w:rPr>
        <w:t xml:space="preserve">: a </w:t>
      </w:r>
      <w:r w:rsidRPr="00A632F3">
        <w:rPr>
          <w:u w:val="single"/>
          <w:lang w:eastAsia="pt-BR"/>
        </w:rPr>
        <w:t>negação criativa</w:t>
      </w:r>
      <w:r>
        <w:rPr>
          <w:lang w:eastAsia="pt-BR"/>
        </w:rPr>
        <w:t xml:space="preserve">.  Como efeito desta prática, o aprendiz que, de fato, se interesse em </w:t>
      </w:r>
      <w:r>
        <w:rPr>
          <w:lang w:eastAsia="pt-BR"/>
        </w:rPr>
        <w:lastRenderedPageBreak/>
        <w:t>aprender, recorre a outros meios de apropriação do saber, que podem ir da apresentação da mesma dúvida a outro membro da comunidade</w:t>
      </w:r>
      <w:r w:rsidR="003A0D81">
        <w:rPr>
          <w:lang w:eastAsia="pt-BR"/>
        </w:rPr>
        <w:t>,</w:t>
      </w:r>
      <w:r w:rsidR="003747B7">
        <w:rPr>
          <w:lang w:eastAsia="pt-BR"/>
        </w:rPr>
        <w:t xml:space="preserve"> até</w:t>
      </w:r>
      <w:r>
        <w:rPr>
          <w:lang w:eastAsia="pt-BR"/>
        </w:rPr>
        <w:t xml:space="preserve"> à busca de soluções externas.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Diante desta postura, há que se admitir a constante presença d</w:t>
      </w:r>
      <w:r w:rsidR="005C697D">
        <w:rPr>
          <w:lang w:eastAsia="pt-BR"/>
        </w:rPr>
        <w:t>e</w:t>
      </w:r>
      <w:r>
        <w:rPr>
          <w:lang w:eastAsia="pt-BR"/>
        </w:rPr>
        <w:t xml:space="preserve"> outro poderoso instrumento de ensino: o</w:t>
      </w:r>
      <w:r w:rsidR="005C697D">
        <w:rPr>
          <w:lang w:eastAsia="pt-BR"/>
        </w:rPr>
        <w:t xml:space="preserve"> já mencionado</w:t>
      </w:r>
      <w:r>
        <w:rPr>
          <w:lang w:eastAsia="pt-BR"/>
        </w:rPr>
        <w:t xml:space="preserve"> </w:t>
      </w:r>
      <w:r w:rsidR="003747B7" w:rsidRPr="003747B7">
        <w:rPr>
          <w:u w:val="single"/>
          <w:lang w:eastAsia="pt-BR"/>
        </w:rPr>
        <w:t xml:space="preserve">intenso </w:t>
      </w:r>
      <w:r w:rsidRPr="00A632F3">
        <w:rPr>
          <w:u w:val="single"/>
          <w:lang w:eastAsia="pt-BR"/>
        </w:rPr>
        <w:t>controle social</w:t>
      </w:r>
      <w:r>
        <w:rPr>
          <w:lang w:eastAsia="pt-BR"/>
        </w:rPr>
        <w:t>, onipresente quer em linha horizontal, porque age entre pares de longevidade ritual próxima, quer em linha vertical, por exercido constantemente pelos “mais velhos”</w:t>
      </w:r>
      <w:r w:rsidR="00BF6EA5">
        <w:rPr>
          <w:lang w:eastAsia="pt-BR"/>
        </w:rPr>
        <w:t>; isto,</w:t>
      </w:r>
      <w:r>
        <w:rPr>
          <w:lang w:eastAsia="pt-BR"/>
        </w:rPr>
        <w:t xml:space="preserve"> até como obrigação de zelo pelo acerto </w:t>
      </w:r>
      <w:r w:rsidR="00BF6EA5">
        <w:rPr>
          <w:lang w:eastAsia="pt-BR"/>
        </w:rPr>
        <w:t xml:space="preserve">social e </w:t>
      </w:r>
      <w:r>
        <w:rPr>
          <w:lang w:eastAsia="pt-BR"/>
        </w:rPr>
        <w:t>ritual.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Como decorrência, o aprendiz é instado, durante todos os momentos, a buscar o aperfeiçoamento e a extensão de seus conhecimentos</w:t>
      </w:r>
      <w:r w:rsidR="005C697D">
        <w:rPr>
          <w:lang w:eastAsia="pt-BR"/>
        </w:rPr>
        <w:t>; isto,</w:t>
      </w:r>
      <w:r>
        <w:rPr>
          <w:lang w:eastAsia="pt-BR"/>
        </w:rPr>
        <w:t xml:space="preserve"> até para ver-se ao largo de críticas sobre seus possíveis erros, que podem ser aplicadas até por quem não saberia fazer melhor.</w:t>
      </w:r>
    </w:p>
    <w:p w:rsidR="001A7480" w:rsidRDefault="001A7480" w:rsidP="001A7480">
      <w:pPr>
        <w:widowControl w:val="0"/>
      </w:pPr>
      <w:r>
        <w:rPr>
          <w:lang w:eastAsia="pt-BR"/>
        </w:rPr>
        <w:t>Nes</w:t>
      </w:r>
      <w:r w:rsidR="003A0D81">
        <w:rPr>
          <w:lang w:eastAsia="pt-BR"/>
        </w:rPr>
        <w:t>t</w:t>
      </w:r>
      <w:r>
        <w:rPr>
          <w:lang w:eastAsia="pt-BR"/>
        </w:rPr>
        <w:t xml:space="preserve">e ponto, parece útil abordar uma das características deste ensino, que decorre do que acima vem descrito: quem ensina é todo o ambiente, é todo o processo, visto que, conforme </w:t>
      </w:r>
      <w:r w:rsidR="003747B7">
        <w:rPr>
          <w:lang w:eastAsia="pt-BR"/>
        </w:rPr>
        <w:t>também cit</w:t>
      </w:r>
      <w:r>
        <w:rPr>
          <w:lang w:eastAsia="pt-BR"/>
        </w:rPr>
        <w:t xml:space="preserve">ado por </w:t>
      </w:r>
      <w:r>
        <w:t>Caputo (2012, p. 138)</w:t>
      </w:r>
      <w:r w:rsidR="005C697D">
        <w:t>,</w:t>
      </w:r>
      <w:r w:rsidRPr="00226B2F">
        <w:t xml:space="preserve"> “</w:t>
      </w:r>
      <w:r>
        <w:t>c</w:t>
      </w:r>
      <w:r w:rsidRPr="00226B2F">
        <w:t xml:space="preserve">om tudo se ensina e com tudo se aprende, numa rede espalhada de conhecimentos e experiências </w:t>
      </w:r>
      <w:r w:rsidR="005C697D">
        <w:t>[...]</w:t>
      </w:r>
      <w:r w:rsidRPr="00226B2F">
        <w:t>, já que [...] estão [...] impregnados nas vidas dos integrantes do culto”.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Is</w:t>
      </w:r>
      <w:r w:rsidR="005C697D">
        <w:rPr>
          <w:lang w:eastAsia="pt-BR"/>
        </w:rPr>
        <w:t>t</w:t>
      </w:r>
      <w:r>
        <w:rPr>
          <w:lang w:eastAsia="pt-BR"/>
        </w:rPr>
        <w:t xml:space="preserve">o posto, estar-se-á diante da figura do que, talvez, se pode chamar </w:t>
      </w:r>
      <w:r>
        <w:rPr>
          <w:u w:val="single"/>
          <w:lang w:eastAsia="pt-BR"/>
        </w:rPr>
        <w:t xml:space="preserve">mestre </w:t>
      </w:r>
      <w:r w:rsidRPr="00E854ED">
        <w:rPr>
          <w:u w:val="single"/>
          <w:lang w:eastAsia="pt-BR"/>
        </w:rPr>
        <w:t>difuso</w:t>
      </w:r>
      <w:r>
        <w:rPr>
          <w:lang w:eastAsia="pt-BR"/>
        </w:rPr>
        <w:t>: toda a comunidade e todos os processos servem para ensinar, para transmitir conhecimentos e para despertar a curiosidade, disparando a dinâmica acima exposta.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Porém, sempre haverá algo não sistematizado, algo oculto nos ensinos assim apreendidos, e seu desvelamento sempre encontrará fundamento nos mitos </w:t>
      </w:r>
      <w:r w:rsidR="003A0D81">
        <w:rPr>
          <w:lang w:eastAsia="pt-BR"/>
        </w:rPr>
        <w:t>sobre a</w:t>
      </w:r>
      <w:r>
        <w:rPr>
          <w:lang w:eastAsia="pt-BR"/>
        </w:rPr>
        <w:t>s</w:t>
      </w:r>
      <w:r w:rsidR="003A0D81">
        <w:rPr>
          <w:lang w:eastAsia="pt-BR"/>
        </w:rPr>
        <w:t xml:space="preserve"> divindades</w:t>
      </w:r>
      <w:r>
        <w:rPr>
          <w:lang w:eastAsia="pt-BR"/>
        </w:rPr>
        <w:t>, motores estes que podem, a qualquer momento, ser acionados, mencionados, discutidos e interpretados por qualquer dos membros da comunidade; o que</w:t>
      </w:r>
      <w:r w:rsidRPr="002D3AD8">
        <w:rPr>
          <w:lang w:eastAsia="pt-BR"/>
        </w:rPr>
        <w:t xml:space="preserve"> </w:t>
      </w:r>
      <w:r>
        <w:rPr>
          <w:lang w:eastAsia="pt-BR"/>
        </w:rPr>
        <w:t xml:space="preserve">dispara, comumente, agradáveis conversas, </w:t>
      </w:r>
      <w:r w:rsidR="009B5DF2">
        <w:rPr>
          <w:lang w:eastAsia="pt-BR"/>
        </w:rPr>
        <w:t xml:space="preserve">centradas na interpretação material dos mitos </w:t>
      </w:r>
      <w:r w:rsidR="003A0D81">
        <w:rPr>
          <w:lang w:eastAsia="pt-BR"/>
        </w:rPr>
        <w:t>aborda</w:t>
      </w:r>
      <w:r w:rsidR="009B5DF2">
        <w:rPr>
          <w:lang w:eastAsia="pt-BR"/>
        </w:rPr>
        <w:t>dos</w:t>
      </w:r>
      <w:r w:rsidR="003A0D81">
        <w:rPr>
          <w:lang w:eastAsia="pt-BR"/>
        </w:rPr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Se assim é, parece possível admitir que, em última análise, quem de fato ensina é o sagrado, o lado invisível, que dá sustentação às coisas materiais, </w:t>
      </w:r>
      <w:r w:rsidR="005C697D">
        <w:rPr>
          <w:lang w:eastAsia="pt-BR"/>
        </w:rPr>
        <w:t xml:space="preserve">confirme opinou </w:t>
      </w:r>
      <w:proofErr w:type="spellStart"/>
      <w:r w:rsidR="005C697D">
        <w:rPr>
          <w:lang w:eastAsia="pt-BR"/>
        </w:rPr>
        <w:t>Bâ</w:t>
      </w:r>
      <w:proofErr w:type="spellEnd"/>
      <w:r w:rsidR="005C697D">
        <w:rPr>
          <w:lang w:eastAsia="pt-BR"/>
        </w:rPr>
        <w:t xml:space="preserve"> (2003); por outras palavras, é</w:t>
      </w:r>
      <w:r>
        <w:rPr>
          <w:lang w:eastAsia="pt-BR"/>
        </w:rPr>
        <w:t xml:space="preserve"> por meios e modos</w:t>
      </w:r>
      <w:r w:rsidR="005C697D">
        <w:rPr>
          <w:lang w:eastAsia="pt-BR"/>
        </w:rPr>
        <w:t xml:space="preserve"> próprios que</w:t>
      </w:r>
      <w:r>
        <w:rPr>
          <w:lang w:eastAsia="pt-BR"/>
        </w:rPr>
        <w:t xml:space="preserve"> o </w:t>
      </w:r>
      <w:proofErr w:type="spellStart"/>
      <w:r>
        <w:rPr>
          <w:lang w:eastAsia="pt-BR"/>
        </w:rPr>
        <w:t>ensinante</w:t>
      </w:r>
      <w:proofErr w:type="spellEnd"/>
      <w:r>
        <w:rPr>
          <w:lang w:eastAsia="pt-BR"/>
        </w:rPr>
        <w:t xml:space="preserve"> supremo é o personagem principal desta rica </w:t>
      </w:r>
      <w:r w:rsidRPr="00015837">
        <w:rPr>
          <w:u w:val="single"/>
          <w:lang w:eastAsia="pt-BR"/>
        </w:rPr>
        <w:t>mitologia</w:t>
      </w:r>
      <w:r>
        <w:rPr>
          <w:lang w:eastAsia="pt-BR"/>
        </w:rPr>
        <w:t xml:space="preserve">: </w:t>
      </w:r>
      <w:r w:rsidR="003A0D81">
        <w:rPr>
          <w:lang w:eastAsia="pt-BR"/>
        </w:rPr>
        <w:t>a</w:t>
      </w:r>
      <w:r>
        <w:rPr>
          <w:lang w:eastAsia="pt-BR"/>
        </w:rPr>
        <w:t xml:space="preserve"> própri</w:t>
      </w:r>
      <w:r w:rsidR="003A0D81">
        <w:rPr>
          <w:lang w:eastAsia="pt-BR"/>
        </w:rPr>
        <w:t>a</w:t>
      </w:r>
      <w:r>
        <w:rPr>
          <w:lang w:eastAsia="pt-BR"/>
        </w:rPr>
        <w:t xml:space="preserve"> </w:t>
      </w:r>
      <w:r w:rsidR="003A0D81">
        <w:rPr>
          <w:lang w:eastAsia="pt-BR"/>
        </w:rPr>
        <w:t>divindade</w:t>
      </w:r>
      <w:r>
        <w:rPr>
          <w:lang w:eastAsia="pt-BR"/>
        </w:rPr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Como característica intrínseca, o aprendizado, por definição, é eterno: ciclo após ciclo das comemorações</w:t>
      </w:r>
      <w:r w:rsidR="009B5DF2">
        <w:rPr>
          <w:lang w:eastAsia="pt-BR"/>
        </w:rPr>
        <w:t xml:space="preserve"> rituais</w:t>
      </w:r>
      <w:r>
        <w:rPr>
          <w:lang w:eastAsia="pt-BR"/>
        </w:rPr>
        <w:t>, novos saberes se assentam sobre os conhecimentos já consolidados, caracterizando o ensino “em espiral”; ou em camadas, se assim se pode chamar.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Cabe ressaltar, ainda e conforme se depreende de tudo o que acima </w:t>
      </w:r>
      <w:r w:rsidR="005C697D">
        <w:rPr>
          <w:lang w:eastAsia="pt-BR"/>
        </w:rPr>
        <w:t xml:space="preserve">vai </w:t>
      </w:r>
      <w:r>
        <w:rPr>
          <w:lang w:eastAsia="pt-BR"/>
        </w:rPr>
        <w:t xml:space="preserve">exposto, que o currículo resta individualizado, já que o ensino por demanda depende do </w:t>
      </w:r>
      <w:r>
        <w:rPr>
          <w:lang w:eastAsia="pt-BR"/>
        </w:rPr>
        <w:lastRenderedPageBreak/>
        <w:t>que questiona cada aprendiz.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Daí que as avaliações, que são constantes e</w:t>
      </w:r>
      <w:r w:rsidRPr="00F66DFE">
        <w:rPr>
          <w:color w:val="FF0000"/>
          <w:lang w:eastAsia="pt-BR"/>
        </w:rPr>
        <w:t xml:space="preserve"> </w:t>
      </w:r>
      <w:r>
        <w:rPr>
          <w:lang w:eastAsia="pt-BR"/>
        </w:rPr>
        <w:t xml:space="preserve">se curvam unicamente, como </w:t>
      </w:r>
      <w:r w:rsidR="009B5DF2">
        <w:rPr>
          <w:lang w:eastAsia="pt-BR"/>
        </w:rPr>
        <w:t>se depreende d</w:t>
      </w:r>
      <w:r w:rsidR="005C697D">
        <w:rPr>
          <w:lang w:eastAsia="pt-BR"/>
        </w:rPr>
        <w:t>esta explanação</w:t>
      </w:r>
      <w:r>
        <w:rPr>
          <w:lang w:eastAsia="pt-BR"/>
        </w:rPr>
        <w:t>, ao difuso, mas onipresente, controle social</w:t>
      </w:r>
      <w:r w:rsidR="005C697D">
        <w:rPr>
          <w:lang w:eastAsia="pt-BR"/>
        </w:rPr>
        <w:t>: elas</w:t>
      </w:r>
      <w:r>
        <w:rPr>
          <w:lang w:eastAsia="pt-BR"/>
        </w:rPr>
        <w:t xml:space="preserve"> </w:t>
      </w:r>
      <w:r w:rsidR="003A0D81">
        <w:rPr>
          <w:lang w:eastAsia="pt-BR"/>
        </w:rPr>
        <w:t xml:space="preserve">não se </w:t>
      </w:r>
      <w:r w:rsidRPr="00584326">
        <w:rPr>
          <w:lang w:eastAsia="pt-BR"/>
        </w:rPr>
        <w:t>prende</w:t>
      </w:r>
      <w:r w:rsidR="003A0D81">
        <w:rPr>
          <w:lang w:eastAsia="pt-BR"/>
        </w:rPr>
        <w:t>m</w:t>
      </w:r>
      <w:r w:rsidRPr="00584326">
        <w:rPr>
          <w:lang w:eastAsia="pt-BR"/>
        </w:rPr>
        <w:t xml:space="preserve"> </w:t>
      </w:r>
      <w:r>
        <w:rPr>
          <w:lang w:eastAsia="pt-BR"/>
        </w:rPr>
        <w:t>a qualquer parâmetro fixo, exceto à comparabilidade entre o que se espera de conhecimento de cada fiel em mesma faixa de longevidade ritual, e o que o grupo desta faixa apresenta como cabedal de conhecimentos.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Percorrido este caminho que, de fato, é muito mais diverso do que o que aqui vai sucintamente apresentado, resta abordar questões fundamentais que devem ser respondidas quando se trata de processos educacionais.</w:t>
      </w:r>
    </w:p>
    <w:p w:rsidR="003A0D81" w:rsidRPr="001D41A5" w:rsidRDefault="003A0D81" w:rsidP="003A0D81">
      <w:pPr>
        <w:pStyle w:val="Ttulo2"/>
      </w:pPr>
      <w:r>
        <w:t>Questõe</w:t>
      </w:r>
      <w:r w:rsidRPr="001D41A5">
        <w:t>s pedagógic</w:t>
      </w:r>
      <w:r>
        <w:t>a</w:t>
      </w:r>
      <w:r w:rsidRPr="001D41A5">
        <w:t>s</w:t>
      </w:r>
      <w:r>
        <w:t xml:space="preserve"> fundamentais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A primeira delas, visto os fundamentos teológico e antropológico acima apresentados, diz respeito à </w:t>
      </w:r>
      <w:r w:rsidRPr="002A0D0D">
        <w:rPr>
          <w:u w:val="single"/>
          <w:lang w:eastAsia="pt-BR"/>
        </w:rPr>
        <w:t>finalidade do ensino</w:t>
      </w:r>
      <w:r>
        <w:rPr>
          <w:lang w:eastAsia="pt-BR"/>
        </w:rPr>
        <w:t xml:space="preserve"> n</w:t>
      </w:r>
      <w:r w:rsidR="003A0D81">
        <w:rPr>
          <w:lang w:eastAsia="pt-BR"/>
        </w:rPr>
        <w:t xml:space="preserve">este modelo ora </w:t>
      </w:r>
      <w:r w:rsidR="00BD4E0D">
        <w:rPr>
          <w:lang w:eastAsia="pt-BR"/>
        </w:rPr>
        <w:t>estu</w:t>
      </w:r>
      <w:r w:rsidR="003A0D81">
        <w:rPr>
          <w:lang w:eastAsia="pt-BR"/>
        </w:rPr>
        <w:t>dado</w:t>
      </w:r>
      <w:r>
        <w:rPr>
          <w:lang w:eastAsia="pt-BR"/>
        </w:rPr>
        <w:t>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Essa, como tudo nesta visão de mundo, tem dupla origem e duplo destino: como origem, a ação do divino sobre o profano, a enxergar cada fiel como elo de sua linhagem; o que o torna, conforme </w:t>
      </w:r>
      <w:r w:rsidR="003A0D81">
        <w:rPr>
          <w:lang w:eastAsia="pt-BR"/>
        </w:rPr>
        <w:t>acima</w:t>
      </w:r>
      <w:r>
        <w:rPr>
          <w:lang w:eastAsia="pt-BR"/>
        </w:rPr>
        <w:t xml:space="preserve"> abordado, responsável pela manutenção e transmissão à</w:t>
      </w:r>
      <w:r w:rsidR="00BD4E0D">
        <w:rPr>
          <w:lang w:eastAsia="pt-BR"/>
        </w:rPr>
        <w:t>s</w:t>
      </w:r>
      <w:r>
        <w:rPr>
          <w:lang w:eastAsia="pt-BR"/>
        </w:rPr>
        <w:t xml:space="preserve"> descendência</w:t>
      </w:r>
      <w:r w:rsidR="00BD4E0D">
        <w:rPr>
          <w:lang w:eastAsia="pt-BR"/>
        </w:rPr>
        <w:t>s</w:t>
      </w:r>
      <w:r>
        <w:rPr>
          <w:lang w:eastAsia="pt-BR"/>
        </w:rPr>
        <w:t xml:space="preserve">, </w:t>
      </w:r>
      <w:r w:rsidR="00BD4E0D">
        <w:rPr>
          <w:lang w:eastAsia="pt-BR"/>
        </w:rPr>
        <w:t>quer</w:t>
      </w:r>
      <w:r>
        <w:rPr>
          <w:lang w:eastAsia="pt-BR"/>
        </w:rPr>
        <w:t xml:space="preserve"> mística</w:t>
      </w:r>
      <w:r w:rsidR="00BD4E0D">
        <w:rPr>
          <w:lang w:eastAsia="pt-BR"/>
        </w:rPr>
        <w:t>,</w:t>
      </w:r>
      <w:r>
        <w:rPr>
          <w:lang w:eastAsia="pt-BR"/>
        </w:rPr>
        <w:t xml:space="preserve"> qu</w:t>
      </w:r>
      <w:r w:rsidR="00BD4E0D">
        <w:rPr>
          <w:lang w:eastAsia="pt-BR"/>
        </w:rPr>
        <w:t>er</w:t>
      </w:r>
      <w:r>
        <w:rPr>
          <w:lang w:eastAsia="pt-BR"/>
        </w:rPr>
        <w:t xml:space="preserve"> biológica, dos saberes e fazeres dos antepassados e ancestrais.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Se assim é, o indivíduo tem, como primordial responsabilidade, o dever de aprender para ensinar, o que </w:t>
      </w:r>
      <w:r w:rsidR="003A0D81">
        <w:rPr>
          <w:lang w:eastAsia="pt-BR"/>
        </w:rPr>
        <w:t>o</w:t>
      </w:r>
      <w:r>
        <w:rPr>
          <w:lang w:eastAsia="pt-BR"/>
        </w:rPr>
        <w:t xml:space="preserve"> obriga a conhecer e interferir em seu entorno; inclusive, agindo para produzir adaptações de sua tradição às exigências materiais da evolução social.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Neste sentido, cabe reproduzir o que opina Mãe Palmira, em fala captada por Caputo (2012, p. 63): “[...] o candomblé precisa mesmo passar por mudanças”; mas não em seu conteúdo original, visto que este é sagrado; </w:t>
      </w:r>
      <w:r w:rsidR="00BD4E0D">
        <w:rPr>
          <w:lang w:eastAsia="pt-BR"/>
        </w:rPr>
        <w:t>el</w:t>
      </w:r>
      <w:r>
        <w:rPr>
          <w:lang w:eastAsia="pt-BR"/>
        </w:rPr>
        <w:t>a</w:t>
      </w:r>
      <w:r w:rsidR="00BD4E0D">
        <w:rPr>
          <w:lang w:eastAsia="pt-BR"/>
        </w:rPr>
        <w:t xml:space="preserve"> prossegue</w:t>
      </w:r>
      <w:r>
        <w:rPr>
          <w:lang w:eastAsia="pt-BR"/>
        </w:rPr>
        <w:t>: “[este] ainda está guardado e vai permanecer”, até porque o invisível “[...] não está nem estará nos livros”.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A outra origem e finalidade diz respeito ao </w:t>
      </w:r>
      <w:r w:rsidRPr="00E33050">
        <w:rPr>
          <w:lang w:eastAsia="pt-BR"/>
        </w:rPr>
        <w:t>pertencimento social</w:t>
      </w:r>
      <w:r>
        <w:rPr>
          <w:lang w:eastAsia="pt-BR"/>
        </w:rPr>
        <w:t>: até por consequência do que acima vai exposto, o indivíduo dilui sua individualidade no grupo, visto que seu aprendizado e, como decorrência, seu saber, é único: mesmo quando em grande parte compartilhado, não se esgota em si mesmo.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Por outro olhar e dadas as características deste aprendizado, que se dispara por ação individual do aprendiz</w:t>
      </w:r>
      <w:r w:rsidR="00BD4E0D">
        <w:rPr>
          <w:lang w:eastAsia="pt-BR"/>
        </w:rPr>
        <w:t>:</w:t>
      </w:r>
      <w:r>
        <w:rPr>
          <w:lang w:eastAsia="pt-BR"/>
        </w:rPr>
        <w:t xml:space="preserve"> cada qual mantém a própria gama de conhecimentos ou de intepretações destes, compondo o conjunto de saberes que se diferenciam, mesmo quando pouco, daqueles dos demais.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lastRenderedPageBreak/>
        <w:t xml:space="preserve">Decorre que só o conjunto, a comunidade e, quando muito, o </w:t>
      </w:r>
      <w:r>
        <w:rPr>
          <w:i/>
          <w:lang w:eastAsia="pt-BR"/>
        </w:rPr>
        <w:t xml:space="preserve">staff </w:t>
      </w:r>
      <w:r>
        <w:rPr>
          <w:lang w:eastAsia="pt-BR"/>
        </w:rPr>
        <w:t xml:space="preserve">sacerdotal, possui todos os saberes necessários à própria convivência; o que pode diferenciar – e diferencia – as práticas, tanto sociais quanto rituais, entre </w:t>
      </w:r>
      <w:r w:rsidR="002C2B9F">
        <w:rPr>
          <w:lang w:eastAsia="pt-BR"/>
        </w:rPr>
        <w:t>comunidades</w:t>
      </w:r>
      <w:r>
        <w:rPr>
          <w:lang w:eastAsia="pt-BR"/>
        </w:rPr>
        <w:t xml:space="preserve"> diferentes. 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Isto, porque o conjunto e a intensidade do divino em cada </w:t>
      </w:r>
      <w:r w:rsidR="002C2B9F">
        <w:rPr>
          <w:lang w:eastAsia="pt-BR"/>
        </w:rPr>
        <w:t>comunidade,</w:t>
      </w:r>
      <w:r>
        <w:rPr>
          <w:lang w:eastAsia="pt-BR"/>
        </w:rPr>
        <w:t xml:space="preserve"> são próprios, até mesmo como decorrência da genealogia e nação de</w:t>
      </w:r>
      <w:r w:rsidR="009B5DF2">
        <w:rPr>
          <w:lang w:eastAsia="pt-BR"/>
        </w:rPr>
        <w:t xml:space="preserve"> </w:t>
      </w:r>
      <w:r w:rsidR="002C2B9F">
        <w:rPr>
          <w:lang w:eastAsia="pt-BR"/>
        </w:rPr>
        <w:t xml:space="preserve">origem de </w:t>
      </w:r>
      <w:r w:rsidR="009B5DF2">
        <w:rPr>
          <w:lang w:eastAsia="pt-BR"/>
        </w:rPr>
        <w:t>cada uma</w:t>
      </w:r>
      <w:r>
        <w:rPr>
          <w:lang w:eastAsia="pt-BR"/>
        </w:rPr>
        <w:t xml:space="preserve">, do </w:t>
      </w:r>
      <w:r w:rsidR="002C2B9F">
        <w:rPr>
          <w:lang w:eastAsia="pt-BR"/>
        </w:rPr>
        <w:t>ente divino</w:t>
      </w:r>
      <w:r>
        <w:rPr>
          <w:lang w:eastAsia="pt-BR"/>
        </w:rPr>
        <w:t xml:space="preserve"> a que esta se </w:t>
      </w:r>
      <w:r w:rsidR="002C2B9F">
        <w:rPr>
          <w:lang w:eastAsia="pt-BR"/>
        </w:rPr>
        <w:t>filia</w:t>
      </w:r>
      <w:r>
        <w:rPr>
          <w:lang w:eastAsia="pt-BR"/>
        </w:rPr>
        <w:t xml:space="preserve">, e àquele a que se filia </w:t>
      </w:r>
      <w:r w:rsidR="00BD4E0D">
        <w:rPr>
          <w:lang w:eastAsia="pt-BR"/>
        </w:rPr>
        <w:t>o</w:t>
      </w:r>
      <w:r>
        <w:rPr>
          <w:lang w:eastAsia="pt-BR"/>
        </w:rPr>
        <w:t xml:space="preserve"> sacerdote.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Como efeito, os saberes disponíveis podem divergir, até mesmo, fiel a fiel; o que faz com que </w:t>
      </w:r>
      <w:r w:rsidR="00BD4E0D">
        <w:rPr>
          <w:lang w:eastAsia="pt-BR"/>
        </w:rPr>
        <w:t>este</w:t>
      </w:r>
      <w:r>
        <w:rPr>
          <w:lang w:eastAsia="pt-BR"/>
        </w:rPr>
        <w:t>s adquiram conhecimentos di</w:t>
      </w:r>
      <w:r w:rsidR="00BD4E0D">
        <w:rPr>
          <w:lang w:eastAsia="pt-BR"/>
        </w:rPr>
        <w:t>v</w:t>
      </w:r>
      <w:r>
        <w:rPr>
          <w:lang w:eastAsia="pt-BR"/>
        </w:rPr>
        <w:t>er</w:t>
      </w:r>
      <w:r w:rsidR="00BD4E0D">
        <w:rPr>
          <w:lang w:eastAsia="pt-BR"/>
        </w:rPr>
        <w:t>so</w:t>
      </w:r>
      <w:r>
        <w:rPr>
          <w:lang w:eastAsia="pt-BR"/>
        </w:rPr>
        <w:t>s, mesmo quando convergentes.</w:t>
      </w:r>
    </w:p>
    <w:p w:rsidR="00F278C4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Quanto ao </w:t>
      </w:r>
      <w:r>
        <w:rPr>
          <w:u w:val="single"/>
          <w:lang w:eastAsia="pt-BR"/>
        </w:rPr>
        <w:t>método</w:t>
      </w:r>
      <w:r>
        <w:rPr>
          <w:lang w:eastAsia="pt-BR"/>
        </w:rPr>
        <w:t xml:space="preserve">, assenta-se, primordialmente, no interesse individual, que é movido pela observação, curiosidade, imitação e experimentação, tudo balizado pelo temor ao erro </w:t>
      </w:r>
      <w:r w:rsidR="009B5DF2">
        <w:rPr>
          <w:lang w:eastAsia="pt-BR"/>
        </w:rPr>
        <w:t xml:space="preserve">repetido </w:t>
      </w:r>
      <w:r>
        <w:rPr>
          <w:lang w:eastAsia="pt-BR"/>
        </w:rPr>
        <w:t>e à possível ofensa ao</w:t>
      </w:r>
      <w:r w:rsidR="00233C9D">
        <w:rPr>
          <w:lang w:eastAsia="pt-BR"/>
        </w:rPr>
        <w:t>s “mais velhos” e ao</w:t>
      </w:r>
      <w:r>
        <w:rPr>
          <w:lang w:eastAsia="pt-BR"/>
        </w:rPr>
        <w:t xml:space="preserve"> </w:t>
      </w:r>
      <w:r w:rsidR="00F278C4">
        <w:rPr>
          <w:lang w:eastAsia="pt-BR"/>
        </w:rPr>
        <w:t>ente sagrado.</w:t>
      </w:r>
    </w:p>
    <w:p w:rsidR="001A7480" w:rsidRDefault="00F278C4" w:rsidP="001A7480">
      <w:pPr>
        <w:widowControl w:val="0"/>
        <w:rPr>
          <w:lang w:eastAsia="pt-BR"/>
        </w:rPr>
      </w:pPr>
      <w:r>
        <w:rPr>
          <w:lang w:eastAsia="pt-BR"/>
        </w:rPr>
        <w:t>P</w:t>
      </w:r>
      <w:r w:rsidR="001A7480">
        <w:rPr>
          <w:lang w:eastAsia="pt-BR"/>
        </w:rPr>
        <w:t xml:space="preserve">ortanto, o método consiste, fundamentalmente, em deixar expostos, durante todo o tempo, todos os saberes materiais necessários ao aprendizado; o que desafia o aprendiz a questionar o próprio fazer e, assim, buscar conhecimentos, quer no ambiente a que se encontra filiado, quer fora dele. 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>Os ajustes acontecem pela correção que a vigilância dos “mais velhos” exerce sobre o</w:t>
      </w:r>
      <w:r w:rsidR="00F278C4">
        <w:rPr>
          <w:lang w:eastAsia="pt-BR"/>
        </w:rPr>
        <w:t>s</w:t>
      </w:r>
      <w:r>
        <w:rPr>
          <w:lang w:eastAsia="pt-BR"/>
        </w:rPr>
        <w:t xml:space="preserve"> procedimento</w:t>
      </w:r>
      <w:r w:rsidR="00F278C4">
        <w:rPr>
          <w:lang w:eastAsia="pt-BR"/>
        </w:rPr>
        <w:t>s</w:t>
      </w:r>
      <w:r>
        <w:rPr>
          <w:lang w:eastAsia="pt-BR"/>
        </w:rPr>
        <w:t xml:space="preserve"> dos “mais novos”</w:t>
      </w:r>
      <w:r w:rsidR="00BD4E0D">
        <w:rPr>
          <w:lang w:eastAsia="pt-BR"/>
        </w:rPr>
        <w:t>;</w:t>
      </w:r>
      <w:r>
        <w:rPr>
          <w:lang w:eastAsia="pt-BR"/>
        </w:rPr>
        <w:t xml:space="preserve"> o que</w:t>
      </w:r>
      <w:r w:rsidR="00BD4E0D">
        <w:rPr>
          <w:lang w:eastAsia="pt-BR"/>
        </w:rPr>
        <w:t>,</w:t>
      </w:r>
      <w:r>
        <w:rPr>
          <w:lang w:eastAsia="pt-BR"/>
        </w:rPr>
        <w:t xml:space="preserve"> também</w:t>
      </w:r>
      <w:r w:rsidR="00BD4E0D">
        <w:rPr>
          <w:lang w:eastAsia="pt-BR"/>
        </w:rPr>
        <w:t>,</w:t>
      </w:r>
      <w:r>
        <w:rPr>
          <w:lang w:eastAsia="pt-BR"/>
        </w:rPr>
        <w:t xml:space="preserve"> tem amplo espectro: a vigilância e a correção agem tanto sobre as posturas sociais quanto sobre os fazeres rituais, e são constantes e onipresentes</w:t>
      </w:r>
      <w:r w:rsidR="00233C9D">
        <w:rPr>
          <w:lang w:eastAsia="pt-BR"/>
        </w:rPr>
        <w:t>;</w:t>
      </w:r>
      <w:r>
        <w:rPr>
          <w:lang w:eastAsia="pt-BR"/>
        </w:rPr>
        <w:t xml:space="preserve"> o que alavanca o cabedal de saberes do aprendiz, visto que, na fonte de todas as posturas, está a mitologia </w:t>
      </w:r>
      <w:r w:rsidR="00F278C4">
        <w:rPr>
          <w:lang w:eastAsia="pt-BR"/>
        </w:rPr>
        <w:t>sacraliza</w:t>
      </w:r>
      <w:r>
        <w:rPr>
          <w:lang w:eastAsia="pt-BR"/>
        </w:rPr>
        <w:t>d</w:t>
      </w:r>
      <w:r w:rsidR="00F278C4">
        <w:rPr>
          <w:lang w:eastAsia="pt-BR"/>
        </w:rPr>
        <w:t>a</w:t>
      </w:r>
      <w:r>
        <w:rPr>
          <w:lang w:eastAsia="pt-BR"/>
        </w:rPr>
        <w:t>.</w:t>
      </w:r>
      <w:r w:rsidRPr="009C5F3F">
        <w:rPr>
          <w:lang w:eastAsia="pt-BR"/>
        </w:rPr>
        <w:t xml:space="preserve"> 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A absorção dos saberes, consequentemente, se dá pela </w:t>
      </w:r>
      <w:r w:rsidRPr="000E0BB2">
        <w:rPr>
          <w:u w:val="single"/>
          <w:lang w:eastAsia="pt-BR"/>
        </w:rPr>
        <w:t>repetição</w:t>
      </w:r>
      <w:r w:rsidR="00233C9D">
        <w:rPr>
          <w:lang w:eastAsia="pt-BR"/>
        </w:rPr>
        <w:t>;</w:t>
      </w:r>
      <w:r>
        <w:rPr>
          <w:lang w:eastAsia="pt-BR"/>
        </w:rPr>
        <w:t xml:space="preserve"> o que se consubstancia na experiência.</w:t>
      </w:r>
    </w:p>
    <w:p w:rsidR="001A7480" w:rsidRDefault="001A7480" w:rsidP="001A7480">
      <w:pPr>
        <w:widowControl w:val="0"/>
        <w:rPr>
          <w:lang w:eastAsia="pt-BR"/>
        </w:rPr>
      </w:pPr>
      <w:r>
        <w:rPr>
          <w:lang w:eastAsia="pt-BR"/>
        </w:rPr>
        <w:t xml:space="preserve">Quanto à </w:t>
      </w:r>
      <w:r>
        <w:rPr>
          <w:u w:val="single"/>
          <w:lang w:eastAsia="pt-BR"/>
        </w:rPr>
        <w:t>avaliação</w:t>
      </w:r>
      <w:r>
        <w:rPr>
          <w:lang w:eastAsia="pt-BR"/>
        </w:rPr>
        <w:t>, conforme se depreende do próprio método, é constante</w:t>
      </w:r>
      <w:r w:rsidR="00233C9D">
        <w:rPr>
          <w:lang w:eastAsia="pt-BR"/>
        </w:rPr>
        <w:t xml:space="preserve">; </w:t>
      </w:r>
      <w:r>
        <w:rPr>
          <w:lang w:eastAsia="pt-BR"/>
        </w:rPr>
        <w:t>e se dá tanto horizontal quanto verticalmente: no primeiro caso, entre os pares, especialmente quando próximos em longevidade ritual; no segundo, pela constante vigilância dos mais velhos, zelosos não só sobre o acerto dos fazeres, quanto pela postura social.</w:t>
      </w:r>
    </w:p>
    <w:p w:rsidR="001A7480" w:rsidRPr="007B01BB" w:rsidRDefault="004114F3" w:rsidP="001A7480">
      <w:pPr>
        <w:widowControl w:val="0"/>
      </w:pPr>
      <w:r>
        <w:t>Decorre que,</w:t>
      </w:r>
      <w:r w:rsidR="001A7480">
        <w:t xml:space="preserve"> se todo o visível é materialização do invisível, a avaliação e os ajustes daí decorrentes só podem ser atribuídos, em última instância, à ação d</w:t>
      </w:r>
      <w:r w:rsidR="00F278C4">
        <w:t>a</w:t>
      </w:r>
      <w:r w:rsidR="001A7480">
        <w:t xml:space="preserve"> </w:t>
      </w:r>
      <w:r w:rsidR="00F278C4">
        <w:t>divindade</w:t>
      </w:r>
      <w:r>
        <w:t>; i</w:t>
      </w:r>
      <w:r w:rsidR="001A7480">
        <w:t>sto, até porque o limite humano da compreensão divina, é o limite da compreensão humana.</w:t>
      </w:r>
    </w:p>
    <w:p w:rsidR="001757B7" w:rsidRPr="004114F3" w:rsidRDefault="001757B7" w:rsidP="004114F3">
      <w:pPr>
        <w:pStyle w:val="Ttulo1"/>
        <w:jc w:val="both"/>
        <w:rPr>
          <w:b/>
        </w:rPr>
      </w:pPr>
      <w:r w:rsidRPr="004114F3">
        <w:rPr>
          <w:b/>
        </w:rPr>
        <w:t>Referências</w:t>
      </w:r>
    </w:p>
    <w:p w:rsidR="001757B7" w:rsidRDefault="001757B7" w:rsidP="001757B7">
      <w:pPr>
        <w:pStyle w:val="Referncia"/>
        <w:widowControl w:val="0"/>
        <w:suppressLineNumbers/>
        <w:spacing w:after="0"/>
      </w:pPr>
      <w:r w:rsidRPr="00432A2D">
        <w:t xml:space="preserve">BÂ, Amadou Hampâté. </w:t>
      </w:r>
      <w:r w:rsidRPr="00432A2D">
        <w:rPr>
          <w:b/>
        </w:rPr>
        <w:t>Amkoullel, o menino fula</w:t>
      </w:r>
      <w:r w:rsidRPr="00432A2D">
        <w:t xml:space="preserve">. São Paulo: Palas Athena-Casa das </w:t>
      </w:r>
      <w:r w:rsidRPr="00432A2D">
        <w:lastRenderedPageBreak/>
        <w:t>Áfricas, 2003.</w:t>
      </w:r>
    </w:p>
    <w:p w:rsidR="001757B7" w:rsidRDefault="00F278C4" w:rsidP="001757B7">
      <w:pPr>
        <w:widowControl w:val="0"/>
        <w:shd w:val="clear" w:color="auto" w:fill="FFFFFF"/>
        <w:spacing w:before="120" w:line="240" w:lineRule="auto"/>
        <w:ind w:firstLine="0"/>
        <w:jc w:val="left"/>
      </w:pPr>
      <w:bookmarkStart w:id="5" w:name="_Hlk509674970"/>
      <w:r w:rsidRPr="00432A2D">
        <w:t>BÂ, Amadou Hampâté</w:t>
      </w:r>
      <w:r w:rsidR="001757B7">
        <w:t xml:space="preserve">. </w:t>
      </w:r>
      <w:r w:rsidR="001757B7" w:rsidRPr="00C2511D">
        <w:t>A educação tradicional na África.</w:t>
      </w:r>
      <w:r w:rsidR="001757B7">
        <w:t xml:space="preserve"> In: </w:t>
      </w:r>
      <w:r w:rsidR="001757B7" w:rsidRPr="00C2511D">
        <w:rPr>
          <w:b/>
        </w:rPr>
        <w:t>Revista THOT n. 64</w:t>
      </w:r>
      <w:r w:rsidR="001757B7">
        <w:t>. São Paulo: Palas Athena,</w:t>
      </w:r>
      <w:r w:rsidR="001757B7" w:rsidRPr="008417F9">
        <w:t xml:space="preserve"> 1997</w:t>
      </w:r>
      <w:r w:rsidR="001757B7">
        <w:t>, p. 23-26</w:t>
      </w:r>
      <w:bookmarkEnd w:id="5"/>
      <w:r w:rsidR="001757B7">
        <w:t>.</w:t>
      </w:r>
    </w:p>
    <w:p w:rsidR="00500976" w:rsidRDefault="00500976" w:rsidP="00500976">
      <w:pPr>
        <w:widowControl w:val="0"/>
        <w:spacing w:before="120" w:line="240" w:lineRule="auto"/>
        <w:ind w:firstLine="0"/>
        <w:jc w:val="left"/>
      </w:pPr>
      <w:r>
        <w:t xml:space="preserve">CAPUTO, Stela Guedes. </w:t>
      </w:r>
      <w:r w:rsidRPr="00242DD1">
        <w:rPr>
          <w:b/>
        </w:rPr>
        <w:t>Educa</w:t>
      </w:r>
      <w:r>
        <w:rPr>
          <w:b/>
        </w:rPr>
        <w:t>ção nos terreiros:</w:t>
      </w:r>
      <w:r>
        <w:t xml:space="preserve"> e como a escola se relaciona com crianças de candomblé. Rio de Janeiro: Pallas, 2012.</w:t>
      </w:r>
    </w:p>
    <w:p w:rsidR="00500976" w:rsidRDefault="00500976" w:rsidP="00500976">
      <w:pPr>
        <w:widowControl w:val="0"/>
        <w:spacing w:before="120" w:line="240" w:lineRule="auto"/>
        <w:ind w:firstLine="0"/>
        <w:jc w:val="left"/>
        <w:rPr>
          <w:shd w:val="clear" w:color="auto" w:fill="FFFFFF"/>
        </w:rPr>
      </w:pPr>
      <w:r w:rsidRPr="00483DE3">
        <w:t>FREIRE, Paulo</w:t>
      </w:r>
      <w:r w:rsidRPr="00483DE3">
        <w:rPr>
          <w:shd w:val="clear" w:color="auto" w:fill="FFFFFF"/>
        </w:rPr>
        <w:t>.</w:t>
      </w:r>
      <w:r w:rsidRPr="00F278C4">
        <w:rPr>
          <w:shd w:val="clear" w:color="auto" w:fill="FFFFFF"/>
        </w:rPr>
        <w:t xml:space="preserve"> </w:t>
      </w:r>
      <w:r w:rsidR="00F278C4">
        <w:rPr>
          <w:b/>
          <w:shd w:val="clear" w:color="auto" w:fill="FFFFFF"/>
        </w:rPr>
        <w:t>Pedagogia do oprimido</w:t>
      </w:r>
      <w:r w:rsidRPr="00483DE3">
        <w:rPr>
          <w:shd w:val="clear" w:color="auto" w:fill="FFFFFF"/>
        </w:rPr>
        <w:t>, 17ª. ed. Rio de Janeiro, Paz e Terra. 1987.</w:t>
      </w:r>
    </w:p>
    <w:p w:rsidR="00B45B2B" w:rsidRDefault="00B45B2B" w:rsidP="00B45B2B">
      <w:pPr>
        <w:widowControl w:val="0"/>
        <w:autoSpaceDE w:val="0"/>
        <w:spacing w:before="120" w:line="240" w:lineRule="auto"/>
        <w:ind w:firstLine="0"/>
        <w:rPr>
          <w:shd w:val="clear" w:color="auto" w:fill="FFFFFF"/>
        </w:rPr>
      </w:pPr>
      <w:r>
        <w:t xml:space="preserve">MACHADO, Vanda. </w:t>
      </w:r>
      <w:r w:rsidRPr="00821318">
        <w:rPr>
          <w:shd w:val="clear" w:color="auto" w:fill="FFFFFF"/>
        </w:rPr>
        <w:t xml:space="preserve">Fundamental é ser aprendente e malungo. </w:t>
      </w:r>
      <w:r w:rsidRPr="00821318">
        <w:rPr>
          <w:b/>
          <w:shd w:val="clear" w:color="auto" w:fill="FFFFFF"/>
        </w:rPr>
        <w:t xml:space="preserve">Apostila do Grupo de Trabalho para inserção das diretrizes nacionais para a educação das relações étnico-raciais e para o ensino de história e cultura afro-brasileira e africanas </w:t>
      </w:r>
      <w:r w:rsidRPr="008A6CBD">
        <w:rPr>
          <w:shd w:val="clear" w:color="auto" w:fill="FFFFFF"/>
        </w:rPr>
        <w:t xml:space="preserve">– GT-Ensino Fundamental II. </w:t>
      </w:r>
      <w:r w:rsidRPr="00821318">
        <w:rPr>
          <w:shd w:val="clear" w:color="auto" w:fill="FFFFFF"/>
        </w:rPr>
        <w:t xml:space="preserve">Brasília: MEC: SECAD, 2003. </w:t>
      </w:r>
    </w:p>
    <w:p w:rsidR="00751E96" w:rsidRDefault="00751E96" w:rsidP="001757B7">
      <w:pPr>
        <w:widowControl w:val="0"/>
        <w:shd w:val="clear" w:color="auto" w:fill="FFFFFF"/>
        <w:spacing w:before="120" w:line="240" w:lineRule="auto"/>
        <w:ind w:firstLine="0"/>
        <w:jc w:val="left"/>
      </w:pPr>
      <w:r w:rsidRPr="00432A2D">
        <w:t>MUN</w:t>
      </w:r>
      <w:bookmarkStart w:id="6" w:name="_GoBack"/>
      <w:bookmarkEnd w:id="6"/>
      <w:r w:rsidRPr="00432A2D">
        <w:t>ANGA, Kabengele</w:t>
      </w:r>
      <w:r>
        <w:t xml:space="preserve">. </w:t>
      </w:r>
      <w:r w:rsidRPr="00903C58">
        <w:t>O universo cultural africano.</w:t>
      </w:r>
      <w:r>
        <w:rPr>
          <w:b/>
        </w:rPr>
        <w:t xml:space="preserve"> </w:t>
      </w:r>
      <w:r w:rsidRPr="00F278C4">
        <w:rPr>
          <w:i/>
        </w:rPr>
        <w:t>In</w:t>
      </w:r>
      <w:r>
        <w:t xml:space="preserve">: </w:t>
      </w:r>
      <w:r w:rsidRPr="00903C58">
        <w:rPr>
          <w:b/>
        </w:rPr>
        <w:t>África-Brasil</w:t>
      </w:r>
      <w:r>
        <w:t>. Belo Horizonte: Fundação JP. v. 14, nº 7 a 10 – jul. a out/1984, p. 64-74.</w:t>
      </w:r>
    </w:p>
    <w:p w:rsidR="00F577BA" w:rsidRDefault="001D41A5" w:rsidP="00F577BA">
      <w:pPr>
        <w:widowControl w:val="0"/>
        <w:spacing w:before="120" w:line="240" w:lineRule="auto"/>
        <w:ind w:firstLine="0"/>
        <w:jc w:val="left"/>
      </w:pPr>
      <w:r w:rsidRPr="00D57F7A">
        <w:t>SILVA</w:t>
      </w:r>
      <w:r>
        <w:t>,</w:t>
      </w:r>
      <w:r w:rsidRPr="00D57F7A">
        <w:t xml:space="preserve"> Dilma Melo. </w:t>
      </w:r>
      <w:r w:rsidRPr="00D57F7A">
        <w:rPr>
          <w:b/>
          <w:bCs/>
        </w:rPr>
        <w:t xml:space="preserve">Por que riem da África? </w:t>
      </w:r>
      <w:r w:rsidRPr="00D57F7A">
        <w:t>São Paulo: Terceira Margem, 2009. (coleção Percepções da Diferença. Negros e brancos na escola, 6)</w:t>
      </w:r>
    </w:p>
    <w:p w:rsidR="001757B7" w:rsidRDefault="001757B7" w:rsidP="001D41A5">
      <w:pPr>
        <w:widowControl w:val="0"/>
        <w:shd w:val="clear" w:color="auto" w:fill="FFFFFF"/>
        <w:spacing w:before="120" w:line="240" w:lineRule="auto"/>
        <w:ind w:firstLine="0"/>
        <w:jc w:val="left"/>
      </w:pPr>
      <w:r>
        <w:t xml:space="preserve">SODRÉ, Muniz. </w:t>
      </w:r>
      <w:r>
        <w:rPr>
          <w:b/>
        </w:rPr>
        <w:t>Pensar Nagô</w:t>
      </w:r>
      <w:r>
        <w:t>. Petrópolis, RJ: Vozes, 2017.</w:t>
      </w:r>
    </w:p>
    <w:p w:rsidR="00751E96" w:rsidRDefault="00751E96" w:rsidP="00751E96">
      <w:pPr>
        <w:pStyle w:val="Referncia"/>
        <w:widowControl w:val="0"/>
        <w:suppressLineNumbers/>
        <w:spacing w:before="120" w:after="0"/>
      </w:pPr>
      <w:r w:rsidRPr="00D26DE6">
        <w:t xml:space="preserve">VERGER, Pierre. </w:t>
      </w:r>
      <w:r w:rsidRPr="00432A2D">
        <w:rPr>
          <w:b/>
        </w:rPr>
        <w:t>Orixás</w:t>
      </w:r>
      <w:r w:rsidRPr="00D26DE6">
        <w:t>: deuses iorubás na África e no Novo Mundo. São Paulo: Corrupio, 19</w:t>
      </w:r>
      <w:r>
        <w:t>9</w:t>
      </w:r>
      <w:r w:rsidRPr="00D26DE6">
        <w:t>1.</w:t>
      </w:r>
    </w:p>
    <w:p w:rsidR="001757B7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* Mestre em Educação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Coordenador da Câmara de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Preservação Cultural do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Núcleo de Cultura Afro-Brasileira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da Universidade de Sorocaba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Membro dos grupos de pesquisa ETNS e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GPTeFE</w:t>
      </w:r>
      <w:proofErr w:type="spellEnd"/>
      <w:r>
        <w:rPr>
          <w:i/>
          <w:sz w:val="22"/>
          <w:szCs w:val="22"/>
        </w:rPr>
        <w:t>, da Universidade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 São Carlos 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rFonts w:ascii="Tahoma" w:hAnsi="Tahoma" w:cs="Tahoma"/>
          <w:color w:val="777777"/>
          <w:sz w:val="17"/>
          <w:szCs w:val="17"/>
          <w:shd w:val="clear" w:color="auto" w:fill="E1EAF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orcid</w:t>
      </w:r>
      <w:proofErr w:type="spellEnd"/>
      <w:r>
        <w:rPr>
          <w:i/>
          <w:sz w:val="22"/>
          <w:szCs w:val="22"/>
        </w:rPr>
        <w:t>: 0000-0001-9307-1454)</w:t>
      </w:r>
    </w:p>
    <w:p w:rsid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  <w:r>
        <w:rPr>
          <w:rFonts w:ascii="Tahoma" w:hAnsi="Tahoma" w:cs="Tahoma"/>
          <w:color w:val="777777"/>
          <w:sz w:val="17"/>
          <w:szCs w:val="17"/>
          <w:shd w:val="clear" w:color="auto" w:fill="E1EAF2"/>
        </w:rPr>
        <w:t xml:space="preserve"> </w:t>
      </w:r>
    </w:p>
    <w:p w:rsidR="00243050" w:rsidRPr="00243050" w:rsidRDefault="00243050" w:rsidP="00243050">
      <w:pPr>
        <w:pStyle w:val="PargrafodaLista"/>
        <w:pBdr>
          <w:top w:val="single" w:sz="4" w:space="1" w:color="auto"/>
        </w:pBdr>
        <w:spacing w:line="240" w:lineRule="auto"/>
        <w:ind w:firstLine="0"/>
        <w:jc w:val="right"/>
        <w:rPr>
          <w:i/>
          <w:sz w:val="22"/>
          <w:szCs w:val="22"/>
        </w:rPr>
      </w:pPr>
    </w:p>
    <w:sectPr w:rsidR="00243050" w:rsidRPr="00243050" w:rsidSect="0061330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BA" w:rsidRDefault="00F457BA" w:rsidP="001A7480">
      <w:pPr>
        <w:spacing w:line="240" w:lineRule="auto"/>
      </w:pPr>
      <w:r>
        <w:separator/>
      </w:r>
    </w:p>
  </w:endnote>
  <w:endnote w:type="continuationSeparator" w:id="0">
    <w:p w:rsidR="00F457BA" w:rsidRDefault="00F457BA" w:rsidP="001A7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BA" w:rsidRDefault="00F457BA" w:rsidP="001A7480">
      <w:pPr>
        <w:spacing w:line="240" w:lineRule="auto"/>
      </w:pPr>
      <w:r>
        <w:separator/>
      </w:r>
    </w:p>
  </w:footnote>
  <w:footnote w:type="continuationSeparator" w:id="0">
    <w:p w:rsidR="00F457BA" w:rsidRDefault="00F457BA" w:rsidP="001A7480">
      <w:pPr>
        <w:spacing w:line="240" w:lineRule="auto"/>
      </w:pPr>
      <w:r>
        <w:continuationSeparator/>
      </w:r>
    </w:p>
  </w:footnote>
  <w:footnote w:id="1">
    <w:p w:rsidR="009F1CCE" w:rsidRDefault="009F1CCE">
      <w:pPr>
        <w:pStyle w:val="Textodenotaderodap"/>
      </w:pPr>
      <w:r>
        <w:rPr>
          <w:rStyle w:val="Refdenotaderodap"/>
        </w:rPr>
        <w:footnoteRef/>
      </w:r>
      <w:r>
        <w:t xml:space="preserve"> Embora os conceitos </w:t>
      </w:r>
      <w:proofErr w:type="spellStart"/>
      <w:r w:rsidRPr="009F1CCE">
        <w:rPr>
          <w:i/>
        </w:rPr>
        <w:t>ubuntu</w:t>
      </w:r>
      <w:proofErr w:type="spellEnd"/>
      <w:r>
        <w:t xml:space="preserve"> e </w:t>
      </w:r>
      <w:proofErr w:type="spellStart"/>
      <w:r w:rsidRPr="009F1CCE">
        <w:rPr>
          <w:i/>
        </w:rPr>
        <w:t>as</w:t>
      </w:r>
      <w:r>
        <w:rPr>
          <w:i/>
        </w:rPr>
        <w:t>è</w:t>
      </w:r>
      <w:proofErr w:type="spellEnd"/>
      <w:r>
        <w:t xml:space="preserve"> se fundamentem em culturas diferenciadas – o primeiro, entre os </w:t>
      </w:r>
      <w:r w:rsidRPr="009F1CCE">
        <w:rPr>
          <w:i/>
        </w:rPr>
        <w:t>bantu</w:t>
      </w:r>
      <w:r>
        <w:t xml:space="preserve">; o segundo, </w:t>
      </w:r>
      <w:proofErr w:type="gramStart"/>
      <w:r>
        <w:t xml:space="preserve">nos </w:t>
      </w:r>
      <w:r w:rsidRPr="009F1CCE">
        <w:rPr>
          <w:i/>
        </w:rPr>
        <w:t>nagô</w:t>
      </w:r>
      <w:proofErr w:type="gramEnd"/>
      <w:r>
        <w:t xml:space="preserve"> – ambos os conceitos efetivamente estão presentes, material e praticamente, em todas as culturas da África subsaariana.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3647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3301" w:rsidRPr="0029290F" w:rsidRDefault="00613301">
        <w:pPr>
          <w:pStyle w:val="Cabealho"/>
          <w:jc w:val="right"/>
          <w:rPr>
            <w:sz w:val="20"/>
            <w:szCs w:val="20"/>
          </w:rPr>
        </w:pPr>
        <w:r w:rsidRPr="0029290F">
          <w:rPr>
            <w:sz w:val="20"/>
            <w:szCs w:val="20"/>
          </w:rPr>
          <w:fldChar w:fldCharType="begin"/>
        </w:r>
        <w:r w:rsidRPr="0029290F">
          <w:rPr>
            <w:sz w:val="20"/>
            <w:szCs w:val="20"/>
          </w:rPr>
          <w:instrText>PAGE   \* MERGEFORMAT</w:instrText>
        </w:r>
        <w:r w:rsidRPr="0029290F">
          <w:rPr>
            <w:sz w:val="20"/>
            <w:szCs w:val="20"/>
          </w:rPr>
          <w:fldChar w:fldCharType="separate"/>
        </w:r>
        <w:r w:rsidRPr="0029290F">
          <w:rPr>
            <w:sz w:val="20"/>
            <w:szCs w:val="20"/>
          </w:rPr>
          <w:t>2</w:t>
        </w:r>
        <w:r w:rsidRPr="0029290F">
          <w:rPr>
            <w:sz w:val="20"/>
            <w:szCs w:val="20"/>
          </w:rPr>
          <w:fldChar w:fldCharType="end"/>
        </w:r>
      </w:p>
    </w:sdtContent>
  </w:sdt>
  <w:p w:rsidR="00613301" w:rsidRDefault="006133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197"/>
    <w:multiLevelType w:val="hybridMultilevel"/>
    <w:tmpl w:val="77846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976"/>
    <w:multiLevelType w:val="multilevel"/>
    <w:tmpl w:val="47B4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127250"/>
    <w:multiLevelType w:val="hybridMultilevel"/>
    <w:tmpl w:val="F7505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0DF4"/>
    <w:multiLevelType w:val="hybridMultilevel"/>
    <w:tmpl w:val="06A2B18C"/>
    <w:lvl w:ilvl="0" w:tplc="B5946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1CE2"/>
    <w:multiLevelType w:val="hybridMultilevel"/>
    <w:tmpl w:val="8780B8C2"/>
    <w:lvl w:ilvl="0" w:tplc="93546844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A40F0">
      <w:start w:val="1"/>
      <w:numFmt w:val="lowerLetter"/>
      <w:lvlText w:val="%2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CB17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887E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6D4B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C635B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34955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6BBF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08F3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98134D"/>
    <w:multiLevelType w:val="hybridMultilevel"/>
    <w:tmpl w:val="45369FF8"/>
    <w:lvl w:ilvl="0" w:tplc="8FD216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DF6C">
      <w:start w:val="2"/>
      <w:numFmt w:val="lowerLetter"/>
      <w:lvlText w:val="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6D19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6FB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0938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D64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4C53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80A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811D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3694D"/>
    <w:multiLevelType w:val="multilevel"/>
    <w:tmpl w:val="1458C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152CD5"/>
    <w:multiLevelType w:val="multilevel"/>
    <w:tmpl w:val="668EE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E750F4"/>
    <w:multiLevelType w:val="hybridMultilevel"/>
    <w:tmpl w:val="E8F6CF38"/>
    <w:lvl w:ilvl="0" w:tplc="8FD216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6D4B2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6D19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6FB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0938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D64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4C53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80A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811D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E8319F"/>
    <w:multiLevelType w:val="hybridMultilevel"/>
    <w:tmpl w:val="33687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80"/>
    <w:rsid w:val="000C5F90"/>
    <w:rsid w:val="00130CF9"/>
    <w:rsid w:val="001757B7"/>
    <w:rsid w:val="001A7480"/>
    <w:rsid w:val="001D41A5"/>
    <w:rsid w:val="001E6370"/>
    <w:rsid w:val="00212F8F"/>
    <w:rsid w:val="00233C9D"/>
    <w:rsid w:val="00243050"/>
    <w:rsid w:val="0029290F"/>
    <w:rsid w:val="002C2B9F"/>
    <w:rsid w:val="003747B7"/>
    <w:rsid w:val="00387B4B"/>
    <w:rsid w:val="00397658"/>
    <w:rsid w:val="003A0D81"/>
    <w:rsid w:val="004114F3"/>
    <w:rsid w:val="00440E14"/>
    <w:rsid w:val="00482E0F"/>
    <w:rsid w:val="00500976"/>
    <w:rsid w:val="00505769"/>
    <w:rsid w:val="00533B56"/>
    <w:rsid w:val="00547910"/>
    <w:rsid w:val="005C697D"/>
    <w:rsid w:val="005E4B50"/>
    <w:rsid w:val="005F22C8"/>
    <w:rsid w:val="005F7581"/>
    <w:rsid w:val="0060212D"/>
    <w:rsid w:val="00613301"/>
    <w:rsid w:val="006233EB"/>
    <w:rsid w:val="00710123"/>
    <w:rsid w:val="00724777"/>
    <w:rsid w:val="00751E96"/>
    <w:rsid w:val="00762304"/>
    <w:rsid w:val="008019FB"/>
    <w:rsid w:val="00886B49"/>
    <w:rsid w:val="009B5DF2"/>
    <w:rsid w:val="009F1C16"/>
    <w:rsid w:val="009F1CCE"/>
    <w:rsid w:val="00A52306"/>
    <w:rsid w:val="00AF14C2"/>
    <w:rsid w:val="00B45B2B"/>
    <w:rsid w:val="00BD4E0D"/>
    <w:rsid w:val="00BF6EA5"/>
    <w:rsid w:val="00C5667E"/>
    <w:rsid w:val="00C83243"/>
    <w:rsid w:val="00C93FB5"/>
    <w:rsid w:val="00CD6D13"/>
    <w:rsid w:val="00D80544"/>
    <w:rsid w:val="00E543F6"/>
    <w:rsid w:val="00EE7196"/>
    <w:rsid w:val="00F22272"/>
    <w:rsid w:val="00F278C4"/>
    <w:rsid w:val="00F457BA"/>
    <w:rsid w:val="00F577BA"/>
    <w:rsid w:val="00F6212A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114"/>
  <w15:chartTrackingRefBased/>
  <w15:docId w15:val="{F135F6A3-ABA6-4CD8-BF3C-066BC6D9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80"/>
    <w:pPr>
      <w:spacing w:after="0" w:line="360" w:lineRule="auto"/>
      <w:ind w:firstLine="14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7581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smallCaps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D41A5"/>
    <w:pPr>
      <w:widowControl w:val="0"/>
      <w:shd w:val="clear" w:color="auto" w:fill="FFFFFF"/>
      <w:spacing w:before="120" w:after="120" w:line="240" w:lineRule="auto"/>
      <w:ind w:firstLine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A7480"/>
    <w:pPr>
      <w:keepNext/>
      <w:keepLines/>
      <w:ind w:firstLine="0"/>
      <w:jc w:val="left"/>
      <w:outlineLvl w:val="2"/>
    </w:pPr>
    <w:rPr>
      <w:rFonts w:eastAsia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7480"/>
    <w:pPr>
      <w:keepNext/>
      <w:keepLines/>
      <w:spacing w:before="40" w:after="120"/>
      <w:ind w:firstLine="0"/>
      <w:outlineLvl w:val="3"/>
    </w:pPr>
    <w:rPr>
      <w:rFonts w:eastAsia="Times New Roman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A7480"/>
    <w:pPr>
      <w:keepNext/>
      <w:keepLines/>
      <w:ind w:firstLine="0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7581"/>
    <w:rPr>
      <w:rFonts w:ascii="Times New Roman" w:eastAsiaTheme="majorEastAsia" w:hAnsi="Times New Roman" w:cstheme="majorBidi"/>
      <w:smallCaps/>
      <w:sz w:val="28"/>
      <w:szCs w:val="32"/>
    </w:rPr>
  </w:style>
  <w:style w:type="character" w:styleId="Refdenotaderodap">
    <w:name w:val="footnote reference"/>
    <w:uiPriority w:val="99"/>
    <w:rsid w:val="001E637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superscript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E6370"/>
    <w:pPr>
      <w:widowControl w:val="0"/>
      <w:spacing w:after="240"/>
      <w:ind w:left="2268" w:firstLine="0"/>
    </w:pPr>
    <w:rPr>
      <w:sz w:val="22"/>
      <w:lang w:val="x-none" w:eastAsia="x-none"/>
    </w:rPr>
  </w:style>
  <w:style w:type="character" w:customStyle="1" w:styleId="CitaoChar">
    <w:name w:val="Citação Char"/>
    <w:link w:val="Citao"/>
    <w:uiPriority w:val="29"/>
    <w:rsid w:val="001E6370"/>
    <w:rPr>
      <w:rFonts w:ascii="Times New Roman" w:hAnsi="Times New Roman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1D41A5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A748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A7480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1A7480"/>
    <w:rPr>
      <w:rFonts w:ascii="Times New Roman" w:eastAsiaTheme="majorEastAsia" w:hAnsi="Times New Roman" w:cstheme="majorBidi"/>
      <w:sz w:val="24"/>
      <w:szCs w:val="24"/>
    </w:rPr>
  </w:style>
  <w:style w:type="paragraph" w:styleId="Textodenotaderodap">
    <w:name w:val="footnote text"/>
    <w:basedOn w:val="Normal"/>
    <w:link w:val="TextodenotaderodapChar"/>
    <w:rsid w:val="001A7480"/>
    <w:pPr>
      <w:widowControl w:val="0"/>
      <w:spacing w:line="240" w:lineRule="auto"/>
      <w:ind w:left="170" w:hanging="170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A74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itao0">
    <w:name w:val="citação"/>
    <w:basedOn w:val="Normal"/>
    <w:rsid w:val="001A7480"/>
    <w:pPr>
      <w:widowControl w:val="0"/>
      <w:spacing w:line="240" w:lineRule="auto"/>
      <w:ind w:left="2268" w:firstLine="0"/>
    </w:pPr>
    <w:rPr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4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480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Textodenotaderodap"/>
    <w:link w:val="RodapChar"/>
    <w:uiPriority w:val="99"/>
    <w:unhideWhenUsed/>
    <w:rsid w:val="001A7480"/>
    <w:pPr>
      <w:ind w:left="142" w:hanging="142"/>
    </w:pPr>
  </w:style>
  <w:style w:type="character" w:customStyle="1" w:styleId="RodapChar">
    <w:name w:val="Rodapé Char"/>
    <w:basedOn w:val="Fontepargpadro"/>
    <w:link w:val="Rodap"/>
    <w:uiPriority w:val="99"/>
    <w:rsid w:val="001A74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uiPriority w:val="31"/>
    <w:qFormat/>
    <w:rsid w:val="001A7480"/>
    <w:rPr>
      <w:smallCaps/>
      <w:color w:val="5A5A5A"/>
    </w:rPr>
  </w:style>
  <w:style w:type="character" w:styleId="RefernciaIntensa">
    <w:name w:val="Intense Reference"/>
    <w:uiPriority w:val="32"/>
    <w:qFormat/>
    <w:rsid w:val="001A7480"/>
    <w:rPr>
      <w:b/>
      <w:bCs/>
      <w:smallCaps/>
      <w:color w:val="5B9BD5"/>
      <w:spacing w:val="5"/>
    </w:rPr>
  </w:style>
  <w:style w:type="paragraph" w:customStyle="1" w:styleId="Referncia">
    <w:name w:val="Referência"/>
    <w:qFormat/>
    <w:rsid w:val="001A7480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1A7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A7480"/>
    <w:pPr>
      <w:keepNext w:val="0"/>
      <w:keepLines w:val="0"/>
      <w:widowControl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caps/>
      <w:color w:val="2E74B5"/>
      <w:sz w:val="32"/>
      <w:lang w:eastAsia="pt-BR"/>
    </w:rPr>
  </w:style>
  <w:style w:type="paragraph" w:styleId="Sumrio1">
    <w:name w:val="toc 1"/>
    <w:basedOn w:val="Normal"/>
    <w:next w:val="Normal"/>
    <w:uiPriority w:val="39"/>
    <w:unhideWhenUsed/>
    <w:rsid w:val="001A7480"/>
    <w:pPr>
      <w:tabs>
        <w:tab w:val="right" w:leader="dot" w:pos="9061"/>
      </w:tabs>
      <w:spacing w:before="120" w:line="240" w:lineRule="auto"/>
      <w:ind w:firstLine="0"/>
    </w:pPr>
    <w:rPr>
      <w:b/>
      <w:caps/>
      <w:noProof/>
    </w:rPr>
  </w:style>
  <w:style w:type="paragraph" w:styleId="Sumrio2">
    <w:name w:val="toc 2"/>
    <w:basedOn w:val="Normal"/>
    <w:next w:val="Normal"/>
    <w:uiPriority w:val="39"/>
    <w:unhideWhenUsed/>
    <w:rsid w:val="001A7480"/>
    <w:pPr>
      <w:tabs>
        <w:tab w:val="right" w:leader="dot" w:pos="9061"/>
      </w:tabs>
      <w:spacing w:line="240" w:lineRule="auto"/>
      <w:ind w:left="113" w:firstLine="0"/>
    </w:pPr>
    <w:rPr>
      <w:b/>
      <w:noProof/>
    </w:rPr>
  </w:style>
  <w:style w:type="paragraph" w:styleId="Sumrio3">
    <w:name w:val="toc 3"/>
    <w:basedOn w:val="Sumrio2"/>
    <w:next w:val="Normal"/>
    <w:uiPriority w:val="39"/>
    <w:unhideWhenUsed/>
    <w:rsid w:val="001A7480"/>
    <w:rPr>
      <w:b w:val="0"/>
    </w:rPr>
  </w:style>
  <w:style w:type="character" w:styleId="Hyperlink">
    <w:name w:val="Hyperlink"/>
    <w:uiPriority w:val="99"/>
    <w:unhideWhenUsed/>
    <w:rsid w:val="001A7480"/>
    <w:rPr>
      <w:color w:val="0563C1"/>
      <w:u w:val="single"/>
    </w:rPr>
  </w:style>
  <w:style w:type="character" w:customStyle="1" w:styleId="st">
    <w:name w:val="st"/>
    <w:basedOn w:val="Fontepargpadro"/>
    <w:rsid w:val="001A7480"/>
  </w:style>
  <w:style w:type="character" w:styleId="nfase">
    <w:name w:val="Emphasis"/>
    <w:uiPriority w:val="20"/>
    <w:qFormat/>
    <w:rsid w:val="001A7480"/>
    <w:rPr>
      <w:i/>
      <w:iCs/>
    </w:rPr>
  </w:style>
  <w:style w:type="paragraph" w:styleId="Recuodecorpodetexto">
    <w:name w:val="Body Text Indent"/>
    <w:basedOn w:val="Normal"/>
    <w:link w:val="RecuodecorpodetextoChar"/>
    <w:semiHidden/>
    <w:rsid w:val="001A7480"/>
    <w:pPr>
      <w:widowControl w:val="0"/>
      <w:ind w:firstLine="709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74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A748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A748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1A7480"/>
  </w:style>
  <w:style w:type="character" w:customStyle="1" w:styleId="apple-converted-space">
    <w:name w:val="apple-converted-space"/>
    <w:basedOn w:val="Fontepargpadro"/>
    <w:rsid w:val="001A7480"/>
  </w:style>
  <w:style w:type="paragraph" w:styleId="PargrafodaLista">
    <w:name w:val="List Paragraph"/>
    <w:basedOn w:val="Normal"/>
    <w:uiPriority w:val="34"/>
    <w:qFormat/>
    <w:rsid w:val="001A7480"/>
    <w:pPr>
      <w:ind w:left="720"/>
      <w:contextualSpacing/>
    </w:pPr>
  </w:style>
  <w:style w:type="paragraph" w:customStyle="1" w:styleId="post-info">
    <w:name w:val="post-info"/>
    <w:basedOn w:val="Normal"/>
    <w:rsid w:val="001A748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48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A748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1A74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4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480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4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480"/>
    <w:rPr>
      <w:rFonts w:ascii="Times New Roman" w:eastAsia="Calibri" w:hAnsi="Times New Roman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1A7480"/>
    <w:rPr>
      <w:b/>
      <w:bCs/>
    </w:rPr>
  </w:style>
  <w:style w:type="character" w:customStyle="1" w:styleId="hide">
    <w:name w:val="hide"/>
    <w:rsid w:val="001A7480"/>
  </w:style>
  <w:style w:type="paragraph" w:styleId="Recuodecorpodetexto3">
    <w:name w:val="Body Text Indent 3"/>
    <w:basedOn w:val="Normal"/>
    <w:link w:val="Recuodecorpodetexto3Char"/>
    <w:rsid w:val="001A7480"/>
    <w:pPr>
      <w:spacing w:before="120" w:after="120"/>
      <w:ind w:left="283" w:firstLine="1134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A748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Meno1">
    <w:name w:val="Menção1"/>
    <w:uiPriority w:val="99"/>
    <w:semiHidden/>
    <w:unhideWhenUsed/>
    <w:rsid w:val="001A7480"/>
    <w:rPr>
      <w:color w:val="2B579A"/>
      <w:shd w:val="clear" w:color="auto" w:fill="E6E6E6"/>
    </w:rPr>
  </w:style>
  <w:style w:type="character" w:customStyle="1" w:styleId="a">
    <w:name w:val="_"/>
    <w:rsid w:val="001A7480"/>
  </w:style>
  <w:style w:type="character" w:customStyle="1" w:styleId="ff4">
    <w:name w:val="ff4"/>
    <w:rsid w:val="001A7480"/>
  </w:style>
  <w:style w:type="character" w:customStyle="1" w:styleId="ff3">
    <w:name w:val="ff3"/>
    <w:rsid w:val="001A7480"/>
  </w:style>
  <w:style w:type="character" w:customStyle="1" w:styleId="MenoPendente1">
    <w:name w:val="Menção Pendente1"/>
    <w:uiPriority w:val="99"/>
    <w:semiHidden/>
    <w:unhideWhenUsed/>
    <w:rsid w:val="001A7480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7480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har">
    <w:name w:val="Subtítulo Char"/>
    <w:basedOn w:val="Fontepargpadro"/>
    <w:link w:val="Subttulo"/>
    <w:uiPriority w:val="11"/>
    <w:rsid w:val="001A7480"/>
    <w:rPr>
      <w:rFonts w:ascii="Calibri Light" w:eastAsia="Times New Roman" w:hAnsi="Calibri Light" w:cs="Times New Roman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1A7480"/>
    <w:pPr>
      <w:spacing w:after="0"/>
      <w:ind w:left="50"/>
    </w:pPr>
    <w:rPr>
      <w:rFonts w:ascii="Calibri" w:eastAsia="Calibri" w:hAnsi="Calibri" w:cs="Calibri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1A7480"/>
    <w:rPr>
      <w:rFonts w:ascii="Calibri" w:eastAsia="Calibri" w:hAnsi="Calibri" w:cs="Calibri"/>
      <w:color w:val="000000"/>
      <w:lang w:eastAsia="pt-BR"/>
    </w:rPr>
  </w:style>
  <w:style w:type="character" w:customStyle="1" w:styleId="footnotemark">
    <w:name w:val="footnote mark"/>
    <w:hidden/>
    <w:rsid w:val="001A7480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1A7480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A7480"/>
    <w:rPr>
      <w:color w:val="808080"/>
      <w:shd w:val="clear" w:color="auto" w:fill="E6E6E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48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480"/>
    <w:rPr>
      <w:rFonts w:ascii="Times New Roman" w:eastAsia="Calibri" w:hAnsi="Times New Roman" w:cs="Times New Roman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A7480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A7480"/>
    <w:rPr>
      <w:color w:val="808080"/>
      <w:shd w:val="clear" w:color="auto" w:fill="E6E6E6"/>
    </w:rPr>
  </w:style>
  <w:style w:type="paragraph" w:customStyle="1" w:styleId="m-1314342944587696787gmail-msonormal">
    <w:name w:val="m_-1314342944587696787gmail-msonormal"/>
    <w:basedOn w:val="Normal"/>
    <w:rsid w:val="001A748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A74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A7480"/>
    <w:rPr>
      <w:rFonts w:ascii="Times New Roman" w:eastAsia="Calibri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A7480"/>
    <w:pPr>
      <w:spacing w:after="160" w:line="259" w:lineRule="auto"/>
      <w:ind w:firstLine="0"/>
      <w:jc w:val="center"/>
    </w:pPr>
    <w:rPr>
      <w:b/>
      <w:smallCaps/>
    </w:rPr>
  </w:style>
  <w:style w:type="character" w:customStyle="1" w:styleId="TtuloChar">
    <w:name w:val="Título Char"/>
    <w:basedOn w:val="Fontepargpadro"/>
    <w:link w:val="Ttulo"/>
    <w:uiPriority w:val="10"/>
    <w:rsid w:val="001A7480"/>
    <w:rPr>
      <w:rFonts w:ascii="Times New Roman" w:eastAsia="Calibri" w:hAnsi="Times New Roman" w:cs="Times New Roman"/>
      <w:b/>
      <w:smallCaps/>
      <w:sz w:val="24"/>
      <w:szCs w:val="24"/>
    </w:rPr>
  </w:style>
  <w:style w:type="paragraph" w:styleId="SemEspaamento">
    <w:name w:val="No Spacing"/>
    <w:uiPriority w:val="1"/>
    <w:qFormat/>
    <w:rsid w:val="001757B7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D87C-948D-4CE5-BC01-7C5FCFA2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4398</Words>
  <Characters>23754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2</cp:revision>
  <dcterms:created xsi:type="dcterms:W3CDTF">2019-04-04T11:47:00Z</dcterms:created>
  <dcterms:modified xsi:type="dcterms:W3CDTF">2019-04-04T11:47:00Z</dcterms:modified>
</cp:coreProperties>
</file>